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C5EA6D" w14:textId="271D76F6" w:rsidR="00BF7032" w:rsidRPr="009E7AEE" w:rsidRDefault="00563864" w:rsidP="004D5BC2">
      <w:pPr>
        <w:pStyle w:val="Title"/>
        <w:rPr>
          <w:b/>
          <w:bCs/>
          <w:color w:val="0070C0"/>
          <w:sz w:val="40"/>
          <w:szCs w:val="40"/>
        </w:rPr>
      </w:pPr>
      <w:proofErr w:type="spellStart"/>
      <w:r w:rsidRPr="009E7AEE">
        <w:rPr>
          <w:b/>
          <w:bCs/>
          <w:color w:val="0070C0"/>
          <w:sz w:val="40"/>
          <w:szCs w:val="40"/>
        </w:rPr>
        <w:t>NDnomics</w:t>
      </w:r>
      <w:proofErr w:type="spellEnd"/>
      <w:r w:rsidRPr="009E7AEE">
        <w:rPr>
          <w:b/>
          <w:bCs/>
          <w:color w:val="0070C0"/>
          <w:sz w:val="40"/>
          <w:szCs w:val="40"/>
        </w:rPr>
        <w:t xml:space="preserve"> 10</w:t>
      </w:r>
      <w:r w:rsidR="004D5BC2" w:rsidRPr="009E7AEE">
        <w:rPr>
          <w:b/>
          <w:bCs/>
          <w:color w:val="0070C0"/>
          <w:sz w:val="40"/>
          <w:szCs w:val="40"/>
        </w:rPr>
        <w:t>- How</w:t>
      </w:r>
      <w:r w:rsidR="00BF7032" w:rsidRPr="009E7AEE">
        <w:rPr>
          <w:b/>
          <w:bCs/>
          <w:color w:val="0070C0"/>
          <w:sz w:val="40"/>
          <w:szCs w:val="40"/>
        </w:rPr>
        <w:t xml:space="preserve"> Dyslexic </w:t>
      </w:r>
      <w:r w:rsidR="00B04FF3">
        <w:rPr>
          <w:b/>
          <w:bCs/>
          <w:color w:val="0070C0"/>
          <w:sz w:val="40"/>
          <w:szCs w:val="40"/>
        </w:rPr>
        <w:t xml:space="preserve">(and other </w:t>
      </w:r>
      <w:r w:rsidR="00271F62">
        <w:rPr>
          <w:b/>
          <w:bCs/>
          <w:color w:val="0070C0"/>
          <w:sz w:val="40"/>
          <w:szCs w:val="40"/>
        </w:rPr>
        <w:t>N</w:t>
      </w:r>
      <w:r w:rsidR="00B04FF3">
        <w:rPr>
          <w:b/>
          <w:bCs/>
          <w:color w:val="0070C0"/>
          <w:sz w:val="40"/>
          <w:szCs w:val="40"/>
        </w:rPr>
        <w:t>eurodivergent</w:t>
      </w:r>
      <w:r w:rsidR="00271F62">
        <w:rPr>
          <w:b/>
          <w:bCs/>
          <w:color w:val="0070C0"/>
          <w:sz w:val="40"/>
          <w:szCs w:val="40"/>
        </w:rPr>
        <w:t>)</w:t>
      </w:r>
      <w:r w:rsidR="00B04FF3">
        <w:rPr>
          <w:b/>
          <w:bCs/>
          <w:color w:val="0070C0"/>
          <w:sz w:val="40"/>
          <w:szCs w:val="40"/>
        </w:rPr>
        <w:t xml:space="preserve"> </w:t>
      </w:r>
      <w:r w:rsidR="00BF7032" w:rsidRPr="009E7AEE">
        <w:rPr>
          <w:b/>
          <w:bCs/>
          <w:color w:val="0070C0"/>
          <w:sz w:val="40"/>
          <w:szCs w:val="40"/>
        </w:rPr>
        <w:t xml:space="preserve">People </w:t>
      </w:r>
      <w:r w:rsidR="003957AB" w:rsidRPr="009E7AEE">
        <w:rPr>
          <w:b/>
          <w:bCs/>
          <w:color w:val="0070C0"/>
          <w:sz w:val="40"/>
          <w:szCs w:val="40"/>
        </w:rPr>
        <w:t>Work</w:t>
      </w:r>
      <w:r w:rsidR="00BF7032" w:rsidRPr="009E7AEE">
        <w:rPr>
          <w:b/>
          <w:bCs/>
          <w:color w:val="0070C0"/>
          <w:sz w:val="40"/>
          <w:szCs w:val="40"/>
        </w:rPr>
        <w:t xml:space="preserve"> – Charles </w:t>
      </w:r>
      <w:r w:rsidR="00873D46" w:rsidRPr="008F20FC">
        <w:rPr>
          <w:b/>
          <w:bCs/>
          <w:color w:val="0070C0"/>
          <w:sz w:val="40"/>
          <w:szCs w:val="40"/>
        </w:rPr>
        <w:t>Freeman</w:t>
      </w:r>
      <w:r w:rsidR="00873D46">
        <w:rPr>
          <w:b/>
          <w:bCs/>
          <w:color w:val="0070C0"/>
          <w:sz w:val="40"/>
          <w:szCs w:val="40"/>
        </w:rPr>
        <w:t xml:space="preserve"> </w:t>
      </w:r>
      <w:r w:rsidR="0075675F">
        <w:rPr>
          <w:b/>
          <w:bCs/>
          <w:color w:val="0070C0"/>
          <w:sz w:val="40"/>
          <w:szCs w:val="40"/>
        </w:rPr>
        <w:t>–</w:t>
      </w:r>
      <w:r w:rsidR="00741B8C" w:rsidRPr="008F20FC">
        <w:rPr>
          <w:rStyle w:val="Hyperlink"/>
          <w:b/>
          <w:bCs/>
          <w:color w:val="0070C0"/>
          <w:sz w:val="40"/>
          <w:szCs w:val="40"/>
          <w:u w:val="none"/>
        </w:rPr>
        <w:t xml:space="preserve"> 2021</w:t>
      </w:r>
      <w:r w:rsidR="0075675F">
        <w:rPr>
          <w:rStyle w:val="Hyperlink"/>
          <w:b/>
          <w:bCs/>
          <w:color w:val="0070C0"/>
          <w:sz w:val="40"/>
          <w:szCs w:val="40"/>
          <w:u w:val="none"/>
        </w:rPr>
        <w:t xml:space="preserve"> </w:t>
      </w:r>
      <w:r w:rsidR="00C8279A">
        <w:rPr>
          <w:rStyle w:val="Hyperlink"/>
          <w:b/>
          <w:bCs/>
          <w:color w:val="0070C0"/>
          <w:sz w:val="40"/>
          <w:szCs w:val="40"/>
          <w:u w:val="none"/>
        </w:rPr>
        <w:t>(</w:t>
      </w:r>
      <w:r w:rsidR="00271F62">
        <w:rPr>
          <w:rStyle w:val="Hyperlink"/>
          <w:b/>
          <w:bCs/>
          <w:color w:val="0070C0"/>
          <w:sz w:val="40"/>
          <w:szCs w:val="40"/>
          <w:u w:val="none"/>
        </w:rPr>
        <w:t>A</w:t>
      </w:r>
      <w:r w:rsidR="00C8279A">
        <w:rPr>
          <w:rStyle w:val="Hyperlink"/>
          <w:b/>
          <w:bCs/>
          <w:color w:val="0070C0"/>
          <w:sz w:val="40"/>
          <w:szCs w:val="40"/>
          <w:u w:val="none"/>
        </w:rPr>
        <w:t>mended 2024</w:t>
      </w:r>
      <w:r w:rsidR="000D2666">
        <w:rPr>
          <w:rStyle w:val="Hyperlink"/>
          <w:b/>
          <w:bCs/>
          <w:color w:val="0070C0"/>
          <w:sz w:val="40"/>
          <w:szCs w:val="40"/>
          <w:u w:val="none"/>
        </w:rPr>
        <w:t>)</w:t>
      </w:r>
    </w:p>
    <w:p w14:paraId="79DB725B" w14:textId="77777777" w:rsidR="002A4175" w:rsidRDefault="002A4175" w:rsidP="00BF7032">
      <w:pPr>
        <w:spacing w:after="0" w:line="240" w:lineRule="auto"/>
        <w:rPr>
          <w:b/>
          <w:sz w:val="24"/>
          <w:szCs w:val="24"/>
        </w:rPr>
      </w:pPr>
    </w:p>
    <w:p w14:paraId="35E8766D" w14:textId="04AFB0B9" w:rsidR="002A4175" w:rsidRDefault="00CE66C8" w:rsidP="00BF7032">
      <w:pPr>
        <w:spacing w:after="0" w:line="240" w:lineRule="auto"/>
        <w:rPr>
          <w:b/>
          <w:sz w:val="24"/>
          <w:szCs w:val="24"/>
        </w:rPr>
      </w:pPr>
      <w:r w:rsidRPr="00CE66C8">
        <w:rPr>
          <w:b/>
          <w:noProof/>
          <w:sz w:val="24"/>
          <w:szCs w:val="24"/>
        </w:rPr>
        <w:drawing>
          <wp:inline distT="0" distB="0" distL="0" distR="0" wp14:anchorId="631B5CC2" wp14:editId="19F5DCF8">
            <wp:extent cx="5761990" cy="1127760"/>
            <wp:effectExtent l="0" t="0" r="0" b="0"/>
            <wp:docPr id="257740734" name="Picture 1" descr="A blue background with white text and green circles&#10;&#10;Description automatically generated">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740734" name="Picture 1" descr="A blue background with white text and green circles&#10;&#10;Description automatically generated">
                      <a:hlinkClick r:id="rId8"/>
                    </pic:cNvPr>
                    <pic:cNvPicPr/>
                  </pic:nvPicPr>
                  <pic:blipFill>
                    <a:blip r:embed="rId9"/>
                    <a:stretch>
                      <a:fillRect/>
                    </a:stretch>
                  </pic:blipFill>
                  <pic:spPr>
                    <a:xfrm>
                      <a:off x="0" y="0"/>
                      <a:ext cx="5761990" cy="1127760"/>
                    </a:xfrm>
                    <a:prstGeom prst="rect">
                      <a:avLst/>
                    </a:prstGeom>
                  </pic:spPr>
                </pic:pic>
              </a:graphicData>
            </a:graphic>
          </wp:inline>
        </w:drawing>
      </w:r>
    </w:p>
    <w:p w14:paraId="074D45F1" w14:textId="77777777" w:rsidR="00084CEA" w:rsidRDefault="00084CEA" w:rsidP="00253C25">
      <w:pPr>
        <w:spacing w:after="0" w:line="240" w:lineRule="auto"/>
        <w:jc w:val="right"/>
        <w:rPr>
          <w:b/>
          <w:sz w:val="24"/>
          <w:szCs w:val="24"/>
        </w:rPr>
      </w:pPr>
    </w:p>
    <w:p w14:paraId="4501229F" w14:textId="6A06EC9F" w:rsidR="002A4175" w:rsidRPr="00A34441" w:rsidRDefault="00A34441" w:rsidP="00253C25">
      <w:pPr>
        <w:spacing w:after="0" w:line="240" w:lineRule="auto"/>
        <w:jc w:val="right"/>
        <w:rPr>
          <w:rStyle w:val="Hyperlink"/>
          <w:b/>
          <w:sz w:val="24"/>
          <w:szCs w:val="24"/>
        </w:rPr>
      </w:pPr>
      <w:r>
        <w:rPr>
          <w:b/>
          <w:sz w:val="24"/>
          <w:szCs w:val="24"/>
        </w:rPr>
        <w:fldChar w:fldCharType="begin"/>
      </w:r>
      <w:r>
        <w:rPr>
          <w:b/>
          <w:sz w:val="24"/>
          <w:szCs w:val="24"/>
        </w:rPr>
        <w:instrText>HYPERLINK "https://www.achieveability.org.uk/files/1633342857/achieveability-neurodiverse-voices-second-interactive-e-journal-2021.pdf"</w:instrText>
      </w:r>
      <w:r>
        <w:rPr>
          <w:b/>
          <w:sz w:val="24"/>
          <w:szCs w:val="24"/>
        </w:rPr>
      </w:r>
      <w:r>
        <w:rPr>
          <w:b/>
          <w:sz w:val="24"/>
          <w:szCs w:val="24"/>
        </w:rPr>
        <w:fldChar w:fldCharType="separate"/>
      </w:r>
      <w:r w:rsidR="00253C25" w:rsidRPr="00A34441">
        <w:rPr>
          <w:rStyle w:val="Hyperlink"/>
          <w:b/>
          <w:sz w:val="24"/>
          <w:szCs w:val="24"/>
        </w:rPr>
        <w:t xml:space="preserve">This article was first published in the Achievability </w:t>
      </w:r>
      <w:r w:rsidR="00240130" w:rsidRPr="00A34441">
        <w:rPr>
          <w:rStyle w:val="Hyperlink"/>
          <w:b/>
          <w:sz w:val="24"/>
          <w:szCs w:val="24"/>
        </w:rPr>
        <w:t>ejournal,</w:t>
      </w:r>
      <w:r w:rsidR="005F7515" w:rsidRPr="00A34441">
        <w:rPr>
          <w:rStyle w:val="Hyperlink"/>
          <w:b/>
          <w:sz w:val="24"/>
          <w:szCs w:val="24"/>
        </w:rPr>
        <w:t xml:space="preserve"> neurodiverse voices good practice in the time of </w:t>
      </w:r>
      <w:r w:rsidR="007216AE" w:rsidRPr="00A34441">
        <w:rPr>
          <w:rStyle w:val="Hyperlink"/>
          <w:b/>
          <w:sz w:val="24"/>
          <w:szCs w:val="24"/>
        </w:rPr>
        <w:t>covid autumn</w:t>
      </w:r>
      <w:r w:rsidRPr="00A34441">
        <w:rPr>
          <w:rStyle w:val="Hyperlink"/>
          <w:b/>
          <w:sz w:val="24"/>
          <w:szCs w:val="24"/>
        </w:rPr>
        <w:t xml:space="preserve"> </w:t>
      </w:r>
      <w:proofErr w:type="gramStart"/>
      <w:r w:rsidRPr="00A34441">
        <w:rPr>
          <w:rStyle w:val="Hyperlink"/>
          <w:b/>
          <w:sz w:val="24"/>
          <w:szCs w:val="24"/>
        </w:rPr>
        <w:t>2021</w:t>
      </w:r>
      <w:proofErr w:type="gramEnd"/>
    </w:p>
    <w:p w14:paraId="59BF0800" w14:textId="1BABD950" w:rsidR="00BF7032" w:rsidRDefault="00A34441" w:rsidP="00BF7032">
      <w:pPr>
        <w:spacing w:after="0" w:line="240" w:lineRule="auto"/>
        <w:rPr>
          <w:b/>
          <w:sz w:val="24"/>
          <w:szCs w:val="24"/>
        </w:rPr>
      </w:pPr>
      <w:r>
        <w:rPr>
          <w:b/>
          <w:sz w:val="24"/>
          <w:szCs w:val="24"/>
        </w:rPr>
        <w:fldChar w:fldCharType="end"/>
      </w:r>
    </w:p>
    <w:p w14:paraId="34E0BA5A" w14:textId="77777777" w:rsidR="00F27B11" w:rsidRDefault="00F27B11" w:rsidP="00BF7032">
      <w:pPr>
        <w:spacing w:after="0" w:line="240" w:lineRule="auto"/>
        <w:rPr>
          <w:b/>
          <w:sz w:val="24"/>
          <w:szCs w:val="24"/>
        </w:rPr>
      </w:pPr>
    </w:p>
    <w:p w14:paraId="10A2CEE1" w14:textId="6AD27888" w:rsidR="00BF7032" w:rsidRDefault="00BF7032" w:rsidP="004C3D46">
      <w:pPr>
        <w:pStyle w:val="Heading1"/>
        <w:numPr>
          <w:ilvl w:val="0"/>
          <w:numId w:val="6"/>
        </w:numPr>
      </w:pPr>
      <w:r>
        <w:t>Introduction</w:t>
      </w:r>
    </w:p>
    <w:p w14:paraId="50E75046" w14:textId="1EA1AD04" w:rsidR="00BF7032" w:rsidRDefault="00BF7032" w:rsidP="00C54230">
      <w:pPr>
        <w:spacing w:after="0" w:line="240" w:lineRule="auto"/>
      </w:pPr>
    </w:p>
    <w:p w14:paraId="192B2F25" w14:textId="10370D3B" w:rsidR="00416136" w:rsidRDefault="00BF7032" w:rsidP="00BF7032">
      <w:r>
        <w:t>2022 mark</w:t>
      </w:r>
      <w:r w:rsidR="00CE4443">
        <w:t>ed</w:t>
      </w:r>
      <w:r>
        <w:t xml:space="preserve"> the 50</w:t>
      </w:r>
      <w:r>
        <w:rPr>
          <w:vertAlign w:val="superscript"/>
        </w:rPr>
        <w:t>th</w:t>
      </w:r>
      <w:r>
        <w:t xml:space="preserve"> Anniversary of the British Dyslexia Association (BDA). </w:t>
      </w:r>
      <w:r w:rsidRPr="00931A21">
        <w:t xml:space="preserve">Since the 1970s significant changes have occurred in the </w:t>
      </w:r>
      <w:r w:rsidRPr="006C62AF">
        <w:t>UK Labour market</w:t>
      </w:r>
      <w:r w:rsidRPr="00931A21">
        <w:t xml:space="preserve">. </w:t>
      </w:r>
      <w:r w:rsidR="00931A21" w:rsidRPr="00931A21">
        <w:rPr>
          <w:noProof/>
        </w:rPr>
        <w:t xml:space="preserve"> </w:t>
      </w:r>
      <w:sdt>
        <w:sdtPr>
          <w:rPr>
            <w:noProof/>
          </w:rPr>
          <w:id w:val="1344051085"/>
          <w:citation/>
        </w:sdtPr>
        <w:sdtEndPr/>
        <w:sdtContent>
          <w:r w:rsidR="00931A21">
            <w:rPr>
              <w:noProof/>
            </w:rPr>
            <w:fldChar w:fldCharType="begin"/>
          </w:r>
          <w:r w:rsidR="003957AB">
            <w:rPr>
              <w:noProof/>
            </w:rPr>
            <w:instrText xml:space="preserve">CITATION ONS19 \l 2057 </w:instrText>
          </w:r>
          <w:r w:rsidR="00931A21">
            <w:rPr>
              <w:noProof/>
            </w:rPr>
            <w:fldChar w:fldCharType="separate"/>
          </w:r>
          <w:r w:rsidR="00FF6A5B">
            <w:rPr>
              <w:noProof/>
            </w:rPr>
            <w:t>(Office of National Statistics, 2019)</w:t>
          </w:r>
          <w:r w:rsidR="00931A21">
            <w:rPr>
              <w:noProof/>
            </w:rPr>
            <w:fldChar w:fldCharType="end"/>
          </w:r>
        </w:sdtContent>
      </w:sdt>
      <w:r w:rsidR="003957AB">
        <w:rPr>
          <w:noProof/>
        </w:rPr>
        <w:t xml:space="preserve"> </w:t>
      </w:r>
      <w:r w:rsidRPr="00931A21">
        <w:t xml:space="preserve">These changes have had a major impact on the way dyslexic </w:t>
      </w:r>
      <w:r w:rsidR="007C0E90">
        <w:t xml:space="preserve">and other neurodivergent </w:t>
      </w:r>
      <w:r w:rsidRPr="00931A21">
        <w:t xml:space="preserve">people are employed. </w:t>
      </w:r>
      <w:r w:rsidR="00416136">
        <w:t xml:space="preserve">(The article uses </w:t>
      </w:r>
      <w:r w:rsidR="00E34842">
        <w:t xml:space="preserve">data from a time when the term neurodiversity was not widely used so dyslexia </w:t>
      </w:r>
      <w:r w:rsidR="00B46277">
        <w:t>is effectively used as a proxy for neurodiversity)</w:t>
      </w:r>
    </w:p>
    <w:p w14:paraId="54FF72A8" w14:textId="47C69B0B" w:rsidR="00BF7032" w:rsidRDefault="00BF7032" w:rsidP="00BF7032">
      <w:r w:rsidRPr="00931A21">
        <w:t>Data generated from a model I developed for this article suggests that</w:t>
      </w:r>
      <w:r w:rsidR="00B46277">
        <w:t xml:space="preserve"> over the past 50 </w:t>
      </w:r>
      <w:proofErr w:type="gramStart"/>
      <w:r w:rsidR="00B46277">
        <w:t xml:space="preserve">years </w:t>
      </w:r>
      <w:r w:rsidRPr="00931A21">
        <w:t>.</w:t>
      </w:r>
      <w:proofErr w:type="gramEnd"/>
      <w:r>
        <w:t xml:space="preserve">  </w:t>
      </w:r>
    </w:p>
    <w:p w14:paraId="66DE8014" w14:textId="77777777" w:rsidR="00BF7032" w:rsidRDefault="00BF7032" w:rsidP="00BF7032">
      <w:pPr>
        <w:pStyle w:val="ListParagraph"/>
        <w:numPr>
          <w:ilvl w:val="0"/>
          <w:numId w:val="2"/>
        </w:numPr>
        <w:spacing w:after="0" w:line="240" w:lineRule="auto"/>
      </w:pPr>
      <w:r>
        <w:t xml:space="preserve">The differences between the ways dyslexic and non-dyslexic people work have widened. </w:t>
      </w:r>
    </w:p>
    <w:p w14:paraId="00E4726F" w14:textId="77777777" w:rsidR="00BF7032" w:rsidRDefault="00BF7032" w:rsidP="00BF7032">
      <w:pPr>
        <w:pStyle w:val="ListParagraph"/>
        <w:spacing w:after="0" w:line="240" w:lineRule="auto"/>
        <w:ind w:left="770"/>
      </w:pPr>
    </w:p>
    <w:p w14:paraId="5706C6C4" w14:textId="77777777" w:rsidR="00BF7032" w:rsidRDefault="00BF7032" w:rsidP="00BF7032">
      <w:pPr>
        <w:pStyle w:val="ListParagraph"/>
        <w:numPr>
          <w:ilvl w:val="0"/>
          <w:numId w:val="2"/>
        </w:numPr>
        <w:spacing w:after="0" w:line="240" w:lineRule="auto"/>
      </w:pPr>
      <w:r>
        <w:t xml:space="preserve">The level of disadvantage faced by dyslexic people in the labour market has been amplified. </w:t>
      </w:r>
    </w:p>
    <w:p w14:paraId="3A04411E" w14:textId="77777777" w:rsidR="00BF7032" w:rsidRDefault="00BF7032" w:rsidP="00BF7032">
      <w:pPr>
        <w:pStyle w:val="ListParagraph"/>
        <w:spacing w:after="0" w:line="240" w:lineRule="auto"/>
        <w:ind w:left="770"/>
      </w:pPr>
    </w:p>
    <w:p w14:paraId="50430120" w14:textId="3F94DCAA" w:rsidR="00BF7032" w:rsidRDefault="00BF7032" w:rsidP="00BF7032">
      <w:pPr>
        <w:pStyle w:val="ListParagraph"/>
        <w:numPr>
          <w:ilvl w:val="0"/>
          <w:numId w:val="2"/>
        </w:numPr>
        <w:spacing w:after="0" w:line="240" w:lineRule="auto"/>
      </w:pPr>
      <w:r>
        <w:t>Disadvantage impacts on dyslexic people who reach all level of educational attainment</w:t>
      </w:r>
      <w:r w:rsidR="005F46E0">
        <w:t xml:space="preserve"> but </w:t>
      </w:r>
      <w:r w:rsidR="00A43874">
        <w:t>has most impact on those with the fewest qualifications</w:t>
      </w:r>
      <w:r w:rsidR="00A52CED">
        <w:t xml:space="preserve">. Attending university </w:t>
      </w:r>
      <w:r w:rsidR="00B711E3">
        <w:t>almost eradic</w:t>
      </w:r>
      <w:r w:rsidR="00937632">
        <w:t xml:space="preserve">ates the employment gap but </w:t>
      </w:r>
      <w:r w:rsidR="00873BAC">
        <w:t xml:space="preserve">does not secure equal pay or equal security of employment. </w:t>
      </w:r>
      <w:r>
        <w:t xml:space="preserve"> </w:t>
      </w:r>
    </w:p>
    <w:p w14:paraId="358F11AD" w14:textId="77777777" w:rsidR="00BF7032" w:rsidRDefault="00BF7032" w:rsidP="00BF7032">
      <w:pPr>
        <w:pStyle w:val="ListParagraph"/>
        <w:spacing w:after="0" w:line="240" w:lineRule="auto"/>
        <w:ind w:left="770"/>
      </w:pPr>
    </w:p>
    <w:p w14:paraId="4CA5E6A6" w14:textId="77777777" w:rsidR="00BF7032" w:rsidRDefault="00BF7032" w:rsidP="00BF7032">
      <w:pPr>
        <w:pStyle w:val="ListParagraph"/>
        <w:numPr>
          <w:ilvl w:val="0"/>
          <w:numId w:val="2"/>
        </w:numPr>
        <w:spacing w:after="0" w:line="240" w:lineRule="auto"/>
      </w:pPr>
      <w:r>
        <w:t xml:space="preserve">Disadvantage faced by dyslexic people is compounded by poverty, and ethnicity. </w:t>
      </w:r>
    </w:p>
    <w:p w14:paraId="138E4F1D" w14:textId="77777777" w:rsidR="00BF7032" w:rsidRDefault="00BF7032" w:rsidP="00BF7032">
      <w:pPr>
        <w:spacing w:after="0" w:line="240" w:lineRule="auto"/>
      </w:pPr>
    </w:p>
    <w:p w14:paraId="4E125539" w14:textId="3FCF7A76" w:rsidR="00BF7032" w:rsidRDefault="00BF7032" w:rsidP="00BF7032">
      <w:pPr>
        <w:spacing w:after="0" w:line="240" w:lineRule="auto"/>
      </w:pPr>
      <w:r>
        <w:t xml:space="preserve"> </w:t>
      </w:r>
    </w:p>
    <w:p w14:paraId="305C398F" w14:textId="07222552" w:rsidR="00BF7032" w:rsidRDefault="00BF7032" w:rsidP="004C3D46">
      <w:pPr>
        <w:pStyle w:val="Heading1"/>
        <w:numPr>
          <w:ilvl w:val="0"/>
          <w:numId w:val="6"/>
        </w:numPr>
      </w:pPr>
      <w:r>
        <w:t>Key Trends in the UK Labour Market</w:t>
      </w:r>
    </w:p>
    <w:p w14:paraId="5D18F239" w14:textId="77777777" w:rsidR="00BF7032" w:rsidRDefault="00BF7032" w:rsidP="00BF7032">
      <w:pPr>
        <w:spacing w:after="0" w:line="240" w:lineRule="auto"/>
        <w:rPr>
          <w:b/>
          <w:bCs/>
        </w:rPr>
      </w:pPr>
    </w:p>
    <w:p w14:paraId="2111554B" w14:textId="1429493F" w:rsidR="00BF7032" w:rsidRPr="00AD3A6C" w:rsidRDefault="00BF7032" w:rsidP="00BF7032">
      <w:pPr>
        <w:spacing w:after="0" w:line="240" w:lineRule="auto"/>
      </w:pPr>
      <w:r w:rsidRPr="00AD3A6C">
        <w:t xml:space="preserve">This section looks at some major labour market trends that have occurred in the past fifty </w:t>
      </w:r>
      <w:r w:rsidR="004C3D46" w:rsidRPr="00AD3A6C">
        <w:t>years.</w:t>
      </w:r>
      <w:r w:rsidRPr="00AD3A6C">
        <w:t xml:space="preserve"> </w:t>
      </w:r>
    </w:p>
    <w:p w14:paraId="3101D6E5" w14:textId="77777777" w:rsidR="00BF7032" w:rsidRDefault="00BF7032" w:rsidP="00BF7032">
      <w:pPr>
        <w:pStyle w:val="ListParagraph"/>
        <w:spacing w:after="0" w:line="240" w:lineRule="auto"/>
        <w:ind w:left="360"/>
        <w:rPr>
          <w:b/>
          <w:bCs/>
        </w:rPr>
      </w:pPr>
    </w:p>
    <w:p w14:paraId="2E9DCEF5" w14:textId="3875BA3B" w:rsidR="00BF7032" w:rsidRDefault="00BF7032" w:rsidP="006314F4">
      <w:pPr>
        <w:pStyle w:val="Heading2"/>
      </w:pPr>
      <w:r>
        <w:t>2.1 - Increased Female Participation</w:t>
      </w:r>
      <w:r w:rsidR="006314F4">
        <w:t xml:space="preserve"> in the Labour Market</w:t>
      </w:r>
    </w:p>
    <w:p w14:paraId="66C7C2E4" w14:textId="77777777" w:rsidR="004704EE" w:rsidRPr="004704EE" w:rsidRDefault="004704EE" w:rsidP="004704EE"/>
    <w:p w14:paraId="77195695" w14:textId="751B0F85" w:rsidR="00BF7032" w:rsidRDefault="00BF7032" w:rsidP="00BF7032">
      <w:r>
        <w:t xml:space="preserve">Between 1970 and 2020 the employment rate for women rose from 52.8% to 72.6%. </w:t>
      </w:r>
      <w:sdt>
        <w:sdtPr>
          <w:id w:val="-836461740"/>
          <w:citation/>
        </w:sdtPr>
        <w:sdtEndPr/>
        <w:sdtContent>
          <w:r>
            <w:fldChar w:fldCharType="begin"/>
          </w:r>
          <w:r w:rsidR="003957AB">
            <w:instrText xml:space="preserve">CITATION ONS9b4 \l 2057 </w:instrText>
          </w:r>
          <w:r>
            <w:fldChar w:fldCharType="separate"/>
          </w:r>
          <w:r w:rsidR="00FF6A5B">
            <w:rPr>
              <w:noProof/>
            </w:rPr>
            <w:t>(Office for national Statistics, 2019b)</w:t>
          </w:r>
          <w:r>
            <w:fldChar w:fldCharType="end"/>
          </w:r>
        </w:sdtContent>
      </w:sdt>
    </w:p>
    <w:p w14:paraId="10FB38C8" w14:textId="77777777" w:rsidR="00F27B11" w:rsidRDefault="00F27B11" w:rsidP="00BF7032"/>
    <w:p w14:paraId="221B7A35" w14:textId="1487FBB1" w:rsidR="00BF7032" w:rsidRDefault="00BF7032" w:rsidP="00BF7032">
      <w:pPr>
        <w:rPr>
          <w:b/>
          <w:bCs/>
        </w:rPr>
      </w:pPr>
      <w:r>
        <w:rPr>
          <w:b/>
          <w:bCs/>
        </w:rPr>
        <w:t xml:space="preserve">Table 1 - </w:t>
      </w:r>
      <w:r w:rsidR="00030280" w:rsidRPr="00030280">
        <w:rPr>
          <w:b/>
          <w:bCs/>
        </w:rPr>
        <w:t>Male and female aged 16 to 64 years in employment, seasonally adjusted, UK, 1971 to 2018</w:t>
      </w:r>
    </w:p>
    <w:p w14:paraId="71423501" w14:textId="5A37315B" w:rsidR="00030280" w:rsidRDefault="00030280" w:rsidP="00BF7032">
      <w:pPr>
        <w:rPr>
          <w:b/>
          <w:bCs/>
        </w:rPr>
      </w:pPr>
      <w:r w:rsidRPr="00030280">
        <w:rPr>
          <w:b/>
          <w:bCs/>
          <w:noProof/>
        </w:rPr>
        <w:drawing>
          <wp:inline distT="0" distB="0" distL="0" distR="0" wp14:anchorId="126D5EBB" wp14:editId="16B30E0E">
            <wp:extent cx="5731510" cy="3175635"/>
            <wp:effectExtent l="0" t="0" r="2540" b="5715"/>
            <wp:docPr id="5" name="Picture 5"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line chart&#10;&#10;Description automatically generated"/>
                    <pic:cNvPicPr/>
                  </pic:nvPicPr>
                  <pic:blipFill>
                    <a:blip r:embed="rId10"/>
                    <a:stretch>
                      <a:fillRect/>
                    </a:stretch>
                  </pic:blipFill>
                  <pic:spPr>
                    <a:xfrm>
                      <a:off x="0" y="0"/>
                      <a:ext cx="5731510" cy="3175635"/>
                    </a:xfrm>
                    <a:prstGeom prst="rect">
                      <a:avLst/>
                    </a:prstGeom>
                  </pic:spPr>
                </pic:pic>
              </a:graphicData>
            </a:graphic>
          </wp:inline>
        </w:drawing>
      </w:r>
    </w:p>
    <w:p w14:paraId="1A5FE1B1" w14:textId="4C73D8E5" w:rsidR="00BF7032" w:rsidRDefault="00BF7032" w:rsidP="00BF7032">
      <w:r>
        <w:t xml:space="preserve">The rise in female employment has led to an increase in the number of dyslexic </w:t>
      </w:r>
      <w:r w:rsidR="004704EE">
        <w:t xml:space="preserve">(and </w:t>
      </w:r>
      <w:r w:rsidR="00347852">
        <w:t>neurodivergent) people</w:t>
      </w:r>
      <w:r>
        <w:t xml:space="preserve"> in employment.  It may also have changed who gets assessed </w:t>
      </w:r>
      <w:r w:rsidR="004A1C72">
        <w:t xml:space="preserve">and accesses </w:t>
      </w:r>
      <w:r w:rsidR="00347852">
        <w:t xml:space="preserve">support. </w:t>
      </w:r>
      <w:r>
        <w:t xml:space="preserve">In 1970 Macdonald Critchley estimated that 4 times more boys than girls were </w:t>
      </w:r>
      <w:r w:rsidRPr="00AD3A6C">
        <w:t xml:space="preserve">dyslexic. </w:t>
      </w:r>
      <w:sdt>
        <w:sdtPr>
          <w:id w:val="1630204470"/>
          <w:citation/>
        </w:sdtPr>
        <w:sdtEndPr/>
        <w:sdtContent>
          <w:r w:rsidRPr="00AD3A6C">
            <w:fldChar w:fldCharType="begin"/>
          </w:r>
          <w:r w:rsidRPr="00AD3A6C">
            <w:instrText xml:space="preserve"> CITATION Mcd91 \l 2057 </w:instrText>
          </w:r>
          <w:r w:rsidRPr="00AD3A6C">
            <w:fldChar w:fldCharType="separate"/>
          </w:r>
          <w:r w:rsidR="00FF6A5B">
            <w:rPr>
              <w:noProof/>
            </w:rPr>
            <w:t>(Critchley, 1970; p91)</w:t>
          </w:r>
          <w:r w:rsidRPr="00AD3A6C">
            <w:fldChar w:fldCharType="end"/>
          </w:r>
        </w:sdtContent>
      </w:sdt>
      <w:r w:rsidRPr="00AD3A6C">
        <w:t xml:space="preserve"> figures for the percentage of black or Asian people </w:t>
      </w:r>
      <w:r w:rsidR="00AD3A6C" w:rsidRPr="00AD3A6C">
        <w:t>assessed at</w:t>
      </w:r>
      <w:r w:rsidRPr="00AD3A6C">
        <w:t xml:space="preserve"> that time are not easy to find.</w:t>
      </w:r>
      <w:r>
        <w:t xml:space="preserve"> </w:t>
      </w:r>
      <w:r w:rsidR="00AD3A6C">
        <w:t>(Kirby 2020)</w:t>
      </w:r>
    </w:p>
    <w:p w14:paraId="601BCE6B" w14:textId="4DFBCFE6" w:rsidR="006C62AF" w:rsidRDefault="00BF7032" w:rsidP="00BF7032">
      <w:r>
        <w:t xml:space="preserve">In the 70s only 10% of newly qualified solicitors were female, by 2016 60% of solicitors were women. Similarly in 1982 only 0.25% of newly recruited solicitors came from </w:t>
      </w:r>
      <w:r w:rsidR="007A69DD">
        <w:t>Black or Asian</w:t>
      </w:r>
      <w:r>
        <w:t xml:space="preserve"> communities</w:t>
      </w:r>
      <w:r w:rsidR="00030280">
        <w:t>. By</w:t>
      </w:r>
      <w:r>
        <w:t xml:space="preserve"> 2015 this figure had risen to 14 % </w:t>
      </w:r>
      <w:sdt>
        <w:sdtPr>
          <w:id w:val="-773322222"/>
          <w:citation/>
        </w:sdtPr>
        <w:sdtEndPr/>
        <w:sdtContent>
          <w:r w:rsidRPr="00C54230">
            <w:fldChar w:fldCharType="begin"/>
          </w:r>
          <w:r w:rsidR="00030280">
            <w:instrText xml:space="preserve">CITATION SRA12 \l 2057 </w:instrText>
          </w:r>
          <w:r w:rsidRPr="00C54230">
            <w:fldChar w:fldCharType="separate"/>
          </w:r>
          <w:r w:rsidR="00FF6A5B">
            <w:rPr>
              <w:noProof/>
            </w:rPr>
            <w:t>(Solicitors Regulatory Authority, 2017, p21; p12)</w:t>
          </w:r>
          <w:r w:rsidRPr="00C54230">
            <w:fldChar w:fldCharType="end"/>
          </w:r>
        </w:sdtContent>
      </w:sdt>
      <w:r w:rsidRPr="00C54230">
        <w:t xml:space="preserve"> </w:t>
      </w:r>
    </w:p>
    <w:p w14:paraId="6B6207DC" w14:textId="5B5D4F8A" w:rsidR="00BF7032" w:rsidRDefault="00030280" w:rsidP="00BF7032">
      <w:r>
        <w:t>T</w:t>
      </w:r>
      <w:r w:rsidR="00561ECE">
        <w:t xml:space="preserve">he </w:t>
      </w:r>
      <w:r>
        <w:t>people able</w:t>
      </w:r>
      <w:r w:rsidR="00561ECE">
        <w:t xml:space="preserve"> to access assessments</w:t>
      </w:r>
      <w:r w:rsidR="00437F1A">
        <w:t xml:space="preserve"> </w:t>
      </w:r>
      <w:r w:rsidR="00E532C1">
        <w:t>and support for neuro</w:t>
      </w:r>
      <w:r w:rsidR="00F876FC">
        <w:t xml:space="preserve">diversity related conditions </w:t>
      </w:r>
      <w:r w:rsidR="001D4F1E">
        <w:t>frequently reflects</w:t>
      </w:r>
      <w:r>
        <w:t xml:space="preserve"> </w:t>
      </w:r>
      <w:r w:rsidR="00366747">
        <w:t xml:space="preserve">the expectations of </w:t>
      </w:r>
      <w:r w:rsidR="00AD34B0">
        <w:t>parent’s</w:t>
      </w:r>
      <w:r w:rsidR="00366747">
        <w:t xml:space="preserve"> teachers and society </w:t>
      </w:r>
      <w:r w:rsidR="00BE4386">
        <w:t>regarding who might get a good job</w:t>
      </w:r>
      <w:r w:rsidR="00EC5E52">
        <w:t xml:space="preserve">, </w:t>
      </w:r>
      <w:r w:rsidR="00561ECE">
        <w:t xml:space="preserve">rather than </w:t>
      </w:r>
      <w:r w:rsidR="002314BF">
        <w:t xml:space="preserve">who </w:t>
      </w:r>
      <w:r w:rsidR="00AF5262">
        <w:t xml:space="preserve">needs support. </w:t>
      </w:r>
      <w:r w:rsidR="00EC5E52">
        <w:t xml:space="preserve"> </w:t>
      </w:r>
      <w:r w:rsidR="00BF7032">
        <w:t xml:space="preserve"> This may be why Asher and Martin Hoyles asked, where are the black dyslexics? </w:t>
      </w:r>
      <w:r w:rsidR="00EC5E52">
        <w:t>I</w:t>
      </w:r>
      <w:r w:rsidR="00BF7032">
        <w:t xml:space="preserve">n the introduction to their book Dyslexia from a Cultural Perspective. </w:t>
      </w:r>
      <w:sdt>
        <w:sdtPr>
          <w:id w:val="-984089902"/>
          <w:citation/>
        </w:sdtPr>
        <w:sdtEndPr/>
        <w:sdtContent>
          <w:r w:rsidR="00BF7032">
            <w:fldChar w:fldCharType="begin"/>
          </w:r>
          <w:r w:rsidR="00BF7032">
            <w:rPr>
              <w:rStyle w:val="EndnoteReference"/>
            </w:rPr>
            <w:instrText xml:space="preserve"> CITATION Hoy07 \l 2057 </w:instrText>
          </w:r>
          <w:r w:rsidR="00BF7032">
            <w:fldChar w:fldCharType="separate"/>
          </w:r>
          <w:r w:rsidR="00FF6A5B">
            <w:rPr>
              <w:noProof/>
            </w:rPr>
            <w:t>(Hoyles, 2007)</w:t>
          </w:r>
          <w:r w:rsidR="00BF7032">
            <w:fldChar w:fldCharType="end"/>
          </w:r>
        </w:sdtContent>
      </w:sdt>
      <w:r w:rsidR="00BF7032">
        <w:t xml:space="preserve">  </w:t>
      </w:r>
      <w:r w:rsidR="00BF7032" w:rsidRPr="00E10442">
        <w:t xml:space="preserve">The incidence of dyslexia is now </w:t>
      </w:r>
      <w:r w:rsidR="00BF7032">
        <w:t xml:space="preserve">widely </w:t>
      </w:r>
      <w:r w:rsidR="00BF7032" w:rsidRPr="00E10442">
        <w:t xml:space="preserve">regarded as being </w:t>
      </w:r>
      <w:r w:rsidR="00AD34B0">
        <w:t>close to</w:t>
      </w:r>
      <w:r w:rsidR="00BF7032" w:rsidRPr="00E10442">
        <w:t xml:space="preserve"> equal among men and women and people of all backgrounds. </w:t>
      </w:r>
      <w:sdt>
        <w:sdtPr>
          <w:id w:val="-602810183"/>
          <w:citation/>
        </w:sdtPr>
        <w:sdtEndPr/>
        <w:sdtContent>
          <w:r w:rsidR="00BF7032">
            <w:fldChar w:fldCharType="begin"/>
          </w:r>
          <w:r>
            <w:instrText xml:space="preserve">CITATION Rea1 \l 2057 </w:instrText>
          </w:r>
          <w:r w:rsidR="00BF7032">
            <w:fldChar w:fldCharType="separate"/>
          </w:r>
          <w:r w:rsidR="00FF6A5B">
            <w:rPr>
              <w:noProof/>
            </w:rPr>
            <w:t>(Readingwell, 2021)</w:t>
          </w:r>
          <w:r w:rsidR="00BF7032">
            <w:fldChar w:fldCharType="end"/>
          </w:r>
        </w:sdtContent>
      </w:sdt>
      <w:r w:rsidR="00BF7032" w:rsidRPr="00E10442">
        <w:t xml:space="preserve">  </w:t>
      </w:r>
    </w:p>
    <w:p w14:paraId="2AD4647B" w14:textId="77777777" w:rsidR="00BF7032" w:rsidRDefault="00BF7032" w:rsidP="003F2C5C">
      <w:pPr>
        <w:pStyle w:val="Heading2"/>
      </w:pPr>
      <w:r>
        <w:t>2.2 - Changes in Education Attainment and Occupational Structure</w:t>
      </w:r>
    </w:p>
    <w:p w14:paraId="311F8958" w14:textId="77777777" w:rsidR="00BF7032" w:rsidRDefault="00BF7032" w:rsidP="00BF7032">
      <w:pPr>
        <w:spacing w:after="0" w:line="240" w:lineRule="auto"/>
      </w:pPr>
    </w:p>
    <w:p w14:paraId="21E4B376" w14:textId="13E6135C" w:rsidR="00BF7032" w:rsidRDefault="00BF7032" w:rsidP="00BF7032">
      <w:pPr>
        <w:spacing w:after="0" w:line="240" w:lineRule="auto"/>
      </w:pPr>
      <w:r>
        <w:t xml:space="preserve">In 1970 20% of the population obtained the equivalent of 5 GCSEs, by 2020 this figure increased to 80%. </w:t>
      </w:r>
      <w:sdt>
        <w:sdtPr>
          <w:id w:val="-109136311"/>
          <w:citation/>
        </w:sdtPr>
        <w:sdtEndPr/>
        <w:sdtContent>
          <w:r>
            <w:fldChar w:fldCharType="begin"/>
          </w:r>
          <w:r w:rsidR="00437F1A">
            <w:instrText xml:space="preserve">CITATION Com12 \l 2057 </w:instrText>
          </w:r>
          <w:r>
            <w:fldChar w:fldCharType="separate"/>
          </w:r>
          <w:r w:rsidR="00FF6A5B">
            <w:rPr>
              <w:noProof/>
            </w:rPr>
            <w:t>(House of Commons Library, 2012)</w:t>
          </w:r>
          <w:r>
            <w:fldChar w:fldCharType="end"/>
          </w:r>
        </w:sdtContent>
      </w:sdt>
      <w:r>
        <w:t xml:space="preserve"> 8% of the population participated in Higher Education in 1970, by 2020 this figure rose to 50%.  </w:t>
      </w:r>
      <w:sdt>
        <w:sdtPr>
          <w:id w:val="-856506192"/>
          <w:citation/>
        </w:sdtPr>
        <w:sdtEndPr/>
        <w:sdtContent>
          <w:r>
            <w:fldChar w:fldCharType="begin"/>
          </w:r>
          <w:r w:rsidR="00030280">
            <w:instrText xml:space="preserve">CITATION BBC19 \l 2057 </w:instrText>
          </w:r>
          <w:r>
            <w:fldChar w:fldCharType="separate"/>
          </w:r>
          <w:r w:rsidR="00FF6A5B">
            <w:rPr>
              <w:noProof/>
            </w:rPr>
            <w:t>(BBC News, 2019)</w:t>
          </w:r>
          <w:r>
            <w:fldChar w:fldCharType="end"/>
          </w:r>
        </w:sdtContent>
      </w:sdt>
    </w:p>
    <w:p w14:paraId="5DC57C13" w14:textId="77777777" w:rsidR="00BF7032" w:rsidRDefault="00BF7032" w:rsidP="00BF7032">
      <w:pPr>
        <w:spacing w:after="0" w:line="240" w:lineRule="auto"/>
      </w:pPr>
    </w:p>
    <w:p w14:paraId="3A6516D5" w14:textId="77777777" w:rsidR="0052206E" w:rsidRDefault="0052206E" w:rsidP="00BF7032">
      <w:pPr>
        <w:rPr>
          <w:b/>
          <w:bCs/>
        </w:rPr>
      </w:pPr>
    </w:p>
    <w:p w14:paraId="04A0481B" w14:textId="77777777" w:rsidR="0052206E" w:rsidRDefault="0052206E" w:rsidP="00BF7032">
      <w:pPr>
        <w:rPr>
          <w:b/>
          <w:bCs/>
        </w:rPr>
      </w:pPr>
    </w:p>
    <w:p w14:paraId="1AFDB367" w14:textId="77777777" w:rsidR="0052206E" w:rsidRDefault="0052206E" w:rsidP="00BF7032">
      <w:pPr>
        <w:rPr>
          <w:b/>
          <w:bCs/>
        </w:rPr>
      </w:pPr>
    </w:p>
    <w:p w14:paraId="7C35C64E" w14:textId="13FAE3B1" w:rsidR="00BF7032" w:rsidRDefault="00BF7032" w:rsidP="00BF7032">
      <w:r>
        <w:rPr>
          <w:b/>
          <w:bCs/>
        </w:rPr>
        <w:lastRenderedPageBreak/>
        <w:t>Table 2 - Achievement of O Levels / GCSEs, House of Commons Library</w:t>
      </w:r>
    </w:p>
    <w:p w14:paraId="3605A3A2" w14:textId="77777777" w:rsidR="00BF7032" w:rsidRDefault="00BF7032" w:rsidP="00BF7032">
      <w:pPr>
        <w:spacing w:after="0" w:line="240" w:lineRule="auto"/>
        <w:rPr>
          <w:b/>
          <w:bCs/>
        </w:rPr>
      </w:pPr>
      <w:r>
        <w:rPr>
          <w:b/>
          <w:bCs/>
          <w:noProof/>
          <w:lang w:val="en-US"/>
        </w:rPr>
        <w:drawing>
          <wp:inline distT="0" distB="0" distL="0" distR="0" wp14:anchorId="2374104C" wp14:editId="36A1F09A">
            <wp:extent cx="5731510" cy="3462020"/>
            <wp:effectExtent l="0" t="0" r="2540" b="5080"/>
            <wp:docPr id="1" name="Picture 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line chart&#10;&#10;Description automatically generated"/>
                    <pic:cNvPicPr>
                      <a:picLocks noChangeAspect="1"/>
                    </pic:cNvPicPr>
                  </pic:nvPicPr>
                  <pic:blipFill>
                    <a:blip r:embed="rId11"/>
                    <a:stretch>
                      <a:fillRect/>
                    </a:stretch>
                  </pic:blipFill>
                  <pic:spPr>
                    <a:xfrm>
                      <a:off x="0" y="0"/>
                      <a:ext cx="5731510" cy="3462020"/>
                    </a:xfrm>
                    <a:prstGeom prst="rect">
                      <a:avLst/>
                    </a:prstGeom>
                  </pic:spPr>
                </pic:pic>
              </a:graphicData>
            </a:graphic>
          </wp:inline>
        </w:drawing>
      </w:r>
    </w:p>
    <w:p w14:paraId="11635D17" w14:textId="77777777" w:rsidR="00BF7032" w:rsidRDefault="00BF7032" w:rsidP="00BF7032">
      <w:pPr>
        <w:jc w:val="right"/>
        <w:rPr>
          <w:b/>
        </w:rPr>
      </w:pPr>
      <w:r>
        <w:rPr>
          <w:b/>
        </w:rPr>
        <w:t xml:space="preserve">Source: Bank of England a Millennium of Macroeconomic Data </w:t>
      </w:r>
    </w:p>
    <w:p w14:paraId="2DA0BE4B" w14:textId="77777777" w:rsidR="0052206E" w:rsidRDefault="0052206E" w:rsidP="00BF7032"/>
    <w:p w14:paraId="49F9C8A8" w14:textId="5FF1BB09" w:rsidR="00BF7032" w:rsidRDefault="00BF7032" w:rsidP="00BF7032">
      <w:r>
        <w:t xml:space="preserve">Professional scientific and technical jobs, (a loose proxy for graduate Jobs) have doubled in numbers during the past 50 years. </w:t>
      </w:r>
    </w:p>
    <w:p w14:paraId="0E93AFC6" w14:textId="6D4C719D" w:rsidR="00BF7032" w:rsidRDefault="00BF7032" w:rsidP="00BF7032">
      <w:pPr>
        <w:rPr>
          <w:b/>
          <w:bCs/>
        </w:rPr>
      </w:pPr>
      <w:r>
        <w:rPr>
          <w:b/>
          <w:bCs/>
        </w:rPr>
        <w:t xml:space="preserve">Table 3 - UK Employment by Sector </w:t>
      </w:r>
      <w:sdt>
        <w:sdtPr>
          <w:rPr>
            <w:b/>
            <w:bCs/>
          </w:rPr>
          <w:id w:val="1330019546"/>
          <w:citation/>
        </w:sdtPr>
        <w:sdtEndPr/>
        <w:sdtContent>
          <w:r w:rsidR="00466F25">
            <w:rPr>
              <w:b/>
              <w:bCs/>
            </w:rPr>
            <w:fldChar w:fldCharType="begin"/>
          </w:r>
          <w:r w:rsidR="00030280">
            <w:rPr>
              <w:b/>
              <w:bCs/>
            </w:rPr>
            <w:instrText xml:space="preserve">CITATION ONS17 \l 2057 </w:instrText>
          </w:r>
          <w:r w:rsidR="00466F25">
            <w:rPr>
              <w:b/>
              <w:bCs/>
            </w:rPr>
            <w:fldChar w:fldCharType="separate"/>
          </w:r>
          <w:r w:rsidR="00FF6A5B">
            <w:rPr>
              <w:noProof/>
            </w:rPr>
            <w:t>(Office for National Statistics, 2017b)</w:t>
          </w:r>
          <w:r w:rsidR="00466F25">
            <w:rPr>
              <w:b/>
              <w:bCs/>
            </w:rPr>
            <w:fldChar w:fldCharType="end"/>
          </w:r>
        </w:sdtContent>
      </w:sdt>
    </w:p>
    <w:p w14:paraId="52CAF121" w14:textId="77777777" w:rsidR="00BF7032" w:rsidRDefault="00BF7032" w:rsidP="00BF7032">
      <w:pPr>
        <w:rPr>
          <w:b/>
          <w:bCs/>
        </w:rPr>
      </w:pPr>
      <w:r>
        <w:rPr>
          <w:b/>
          <w:bCs/>
          <w:noProof/>
          <w:lang w:val="en-US"/>
        </w:rPr>
        <w:drawing>
          <wp:inline distT="0" distB="0" distL="0" distR="0" wp14:anchorId="7D98183C" wp14:editId="4EE6C343">
            <wp:extent cx="5731510" cy="3134995"/>
            <wp:effectExtent l="0" t="0" r="2540" b="8255"/>
            <wp:docPr id="11" name="Picture 1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10;&#10;Description automatically generated"/>
                    <pic:cNvPicPr>
                      <a:picLocks noChangeAspect="1"/>
                    </pic:cNvPicPr>
                  </pic:nvPicPr>
                  <pic:blipFill>
                    <a:blip r:embed="rId12"/>
                    <a:stretch>
                      <a:fillRect/>
                    </a:stretch>
                  </pic:blipFill>
                  <pic:spPr>
                    <a:xfrm>
                      <a:off x="0" y="0"/>
                      <a:ext cx="5731510" cy="3134995"/>
                    </a:xfrm>
                    <a:prstGeom prst="rect">
                      <a:avLst/>
                    </a:prstGeom>
                  </pic:spPr>
                </pic:pic>
              </a:graphicData>
            </a:graphic>
          </wp:inline>
        </w:drawing>
      </w:r>
    </w:p>
    <w:p w14:paraId="4E9173A7" w14:textId="77777777" w:rsidR="00BF7032" w:rsidRDefault="00BF7032" w:rsidP="00BF7032">
      <w:pPr>
        <w:jc w:val="right"/>
        <w:rPr>
          <w:b/>
        </w:rPr>
      </w:pPr>
      <w:r>
        <w:rPr>
          <w:b/>
        </w:rPr>
        <w:t xml:space="preserve">Source: Bank of England </w:t>
      </w:r>
    </w:p>
    <w:p w14:paraId="3D0EA064" w14:textId="5014F518" w:rsidR="00BF7032" w:rsidRDefault="00BF7032" w:rsidP="00BF7032">
      <w:r>
        <w:lastRenderedPageBreak/>
        <w:t xml:space="preserve">In the early 70s most jobs were open to people with few qualifications. In 2021 it is necessary to obtain GCSEs to complete an entry level Apprenticeship. </w:t>
      </w:r>
      <w:sdt>
        <w:sdtPr>
          <w:id w:val="1984504360"/>
          <w:citation/>
        </w:sdtPr>
        <w:sdtEndPr/>
        <w:sdtContent>
          <w:r>
            <w:fldChar w:fldCharType="begin"/>
          </w:r>
          <w:r w:rsidR="00030280">
            <w:instrText xml:space="preserve">CITATION Car \l 2057 </w:instrText>
          </w:r>
          <w:r>
            <w:fldChar w:fldCharType="separate"/>
          </w:r>
          <w:r w:rsidR="00FF6A5B">
            <w:rPr>
              <w:noProof/>
            </w:rPr>
            <w:t>(Careermap, 2021)</w:t>
          </w:r>
          <w:r>
            <w:fldChar w:fldCharType="end"/>
          </w:r>
        </w:sdtContent>
      </w:sdt>
    </w:p>
    <w:p w14:paraId="752BE42E" w14:textId="77777777" w:rsidR="00BF7032" w:rsidRDefault="00BF7032" w:rsidP="00BF7032">
      <w:r>
        <w:t xml:space="preserve"> Many people who started careers without qualifications in the 1970s, retired as skilled well-paid employees.  Opportunities for career progression in posts that do not require GCSE or equivalent qualifications in English and Maths are now limited.</w:t>
      </w:r>
    </w:p>
    <w:p w14:paraId="3B495A7F" w14:textId="77777777" w:rsidR="00BF7032" w:rsidRDefault="00BF7032" w:rsidP="00AE2FD2">
      <w:pPr>
        <w:pStyle w:val="Heading2"/>
      </w:pPr>
      <w:r>
        <w:t>2.3 - Changes in mode of Employment</w:t>
      </w:r>
    </w:p>
    <w:p w14:paraId="781946F7" w14:textId="77777777" w:rsidR="00AE2FD2" w:rsidRPr="00AE2FD2" w:rsidRDefault="00AE2FD2" w:rsidP="00AE2FD2"/>
    <w:p w14:paraId="1EC52A79" w14:textId="72D73A19" w:rsidR="00EA1AF2" w:rsidRDefault="00BF7032" w:rsidP="00BF7032">
      <w:r>
        <w:t>The level of self-employment in the economy has risen from 8</w:t>
      </w:r>
      <w:r w:rsidR="00030280">
        <w:t xml:space="preserve">% in 1971 </w:t>
      </w:r>
      <w:r>
        <w:t>to 1</w:t>
      </w:r>
      <w:r w:rsidR="00030280">
        <w:t>4</w:t>
      </w:r>
      <w:r>
        <w:t>%</w:t>
      </w:r>
      <w:r w:rsidR="00030280">
        <w:t xml:space="preserve"> in 2020</w:t>
      </w:r>
      <w:r>
        <w:t xml:space="preserve">. </w:t>
      </w:r>
      <w:r w:rsidR="00AE2FD2">
        <w:t xml:space="preserve">The </w:t>
      </w:r>
      <w:r w:rsidR="00524713">
        <w:t>1970</w:t>
      </w:r>
      <w:r w:rsidR="00AE2FD2">
        <w:t>’</w:t>
      </w:r>
      <w:proofErr w:type="gramStart"/>
      <w:r w:rsidR="00AE2FD2">
        <w:t xml:space="preserve">s </w:t>
      </w:r>
      <w:r w:rsidR="00524713">
        <w:t xml:space="preserve"> </w:t>
      </w:r>
      <w:r w:rsidR="00C3122B">
        <w:t>marked</w:t>
      </w:r>
      <w:proofErr w:type="gramEnd"/>
      <w:r w:rsidR="00C3122B">
        <w:t xml:space="preserve"> a </w:t>
      </w:r>
      <w:r w:rsidR="006026CD">
        <w:t>low point</w:t>
      </w:r>
      <w:r w:rsidR="00C3122B">
        <w:t xml:space="preserve"> in </w:t>
      </w:r>
      <w:r w:rsidR="006026CD">
        <w:t>self-</w:t>
      </w:r>
      <w:r w:rsidR="002B0FEA">
        <w:t>employment.</w:t>
      </w:r>
      <w:r w:rsidR="00B406B3">
        <w:t xml:space="preserve"> One of the consequences of the period of postwar </w:t>
      </w:r>
      <w:r w:rsidR="00F17C4C">
        <w:t xml:space="preserve">full employment was that the </w:t>
      </w:r>
      <w:r w:rsidR="002B0FEA">
        <w:t>proportion of</w:t>
      </w:r>
      <w:r w:rsidR="00F17C4C">
        <w:t xml:space="preserve"> </w:t>
      </w:r>
      <w:r w:rsidR="004A2DED">
        <w:t>long-term</w:t>
      </w:r>
      <w:r w:rsidR="00F17C4C">
        <w:t xml:space="preserve"> secure jobs</w:t>
      </w:r>
      <w:r w:rsidR="00B23EA8">
        <w:t xml:space="preserve"> increased</w:t>
      </w:r>
      <w:r w:rsidR="008239AE">
        <w:t xml:space="preserve"> during the 1950s 60s</w:t>
      </w:r>
      <w:r w:rsidR="002B0FEA">
        <w:t xml:space="preserve"> 70s</w:t>
      </w:r>
      <w:r w:rsidR="00B23EA8">
        <w:t xml:space="preserve">. </w:t>
      </w:r>
      <w:r w:rsidR="0010696F">
        <w:t xml:space="preserve"> </w:t>
      </w:r>
      <w:r w:rsidR="002B0FEA">
        <w:t xml:space="preserve">Many jobs also came </w:t>
      </w:r>
      <w:r w:rsidR="00AF3F1E">
        <w:t>with good</w:t>
      </w:r>
      <w:r w:rsidR="002B0FEA">
        <w:t xml:space="preserve"> </w:t>
      </w:r>
      <w:r w:rsidR="00AE2FD2">
        <w:t>work-related</w:t>
      </w:r>
      <w:r w:rsidR="00AF3F1E">
        <w:t xml:space="preserve"> pension</w:t>
      </w:r>
      <w:r w:rsidR="002B0FEA">
        <w:t xml:space="preserve"> schemes. </w:t>
      </w:r>
      <w:r w:rsidR="0010696F">
        <w:t xml:space="preserve">Relatively few people needed to be </w:t>
      </w:r>
      <w:r w:rsidR="00EA1AF2">
        <w:t>self-employed.</w:t>
      </w:r>
    </w:p>
    <w:p w14:paraId="0821981A" w14:textId="59B79D93" w:rsidR="00BF7032" w:rsidRDefault="00EA1AF2" w:rsidP="00BF7032">
      <w:r>
        <w:t xml:space="preserve">In recent years the </w:t>
      </w:r>
      <w:r w:rsidR="0071596A">
        <w:t>proportion of</w:t>
      </w:r>
      <w:r>
        <w:t xml:space="preserve"> </w:t>
      </w:r>
      <w:r w:rsidR="00D55657">
        <w:t xml:space="preserve">people who work in </w:t>
      </w:r>
      <w:r>
        <w:t xml:space="preserve">secure </w:t>
      </w:r>
      <w:r w:rsidR="0071596A">
        <w:t>long-term</w:t>
      </w:r>
      <w:r>
        <w:t xml:space="preserve"> jobs </w:t>
      </w:r>
      <w:r w:rsidR="00D55657">
        <w:t xml:space="preserve">has fallen. </w:t>
      </w:r>
      <w:r w:rsidR="00B52A4F">
        <w:t xml:space="preserve">An increasing number of people work on </w:t>
      </w:r>
      <w:r w:rsidR="00F80533">
        <w:t>t</w:t>
      </w:r>
      <w:r w:rsidR="00BF7032">
        <w:t xml:space="preserve">emporary </w:t>
      </w:r>
      <w:r w:rsidR="0071596A">
        <w:t>contracts,</w:t>
      </w:r>
      <w:r w:rsidR="00F80533">
        <w:t xml:space="preserve"> in </w:t>
      </w:r>
      <w:r w:rsidR="00BF7032">
        <w:t>portfolio</w:t>
      </w:r>
      <w:r w:rsidR="00F80533">
        <w:t xml:space="preserve"> careers (doing more than one job at a time</w:t>
      </w:r>
      <w:r w:rsidR="00AE2FD2">
        <w:t>) or</w:t>
      </w:r>
      <w:r w:rsidR="0071596A">
        <w:t xml:space="preserve"> are self-</w:t>
      </w:r>
      <w:r w:rsidR="00CF2271">
        <w:t>employed.</w:t>
      </w:r>
      <w:r w:rsidR="0071596A">
        <w:t xml:space="preserve"> </w:t>
      </w:r>
      <w:r w:rsidR="004A2DED">
        <w:t xml:space="preserve"> </w:t>
      </w:r>
      <w:r w:rsidR="002E0540">
        <w:t xml:space="preserve">This should not always be seen as a bad </w:t>
      </w:r>
      <w:r w:rsidR="00180C1F">
        <w:t>thing;</w:t>
      </w:r>
      <w:r w:rsidR="002E0540">
        <w:t xml:space="preserve"> the flexibility can be very helpful</w:t>
      </w:r>
      <w:r w:rsidR="00CF2271">
        <w:t xml:space="preserve">. In security however also has </w:t>
      </w:r>
      <w:r w:rsidR="00180C1F">
        <w:t>consequences, making it for example much harder to buy a house</w:t>
      </w:r>
      <w:r w:rsidR="00AF3F1E">
        <w:t xml:space="preserve"> or build up a pension fund. </w:t>
      </w:r>
    </w:p>
    <w:p w14:paraId="0BD4C862" w14:textId="7378897D" w:rsidR="00BF7032" w:rsidRDefault="00BF7032" w:rsidP="00BF7032">
      <w:pPr>
        <w:rPr>
          <w:b/>
          <w:bCs/>
        </w:rPr>
      </w:pPr>
      <w:r>
        <w:rPr>
          <w:b/>
          <w:bCs/>
        </w:rPr>
        <w:t xml:space="preserve">Table 4 - Share of Employment that is self-employed UK 1861-2018 </w:t>
      </w:r>
      <w:sdt>
        <w:sdtPr>
          <w:rPr>
            <w:b/>
            <w:bCs/>
          </w:rPr>
          <w:id w:val="1002014215"/>
          <w:citation/>
        </w:sdtPr>
        <w:sdtEndPr/>
        <w:sdtContent>
          <w:r>
            <w:rPr>
              <w:b/>
              <w:bCs/>
            </w:rPr>
            <w:fldChar w:fldCharType="begin"/>
          </w:r>
          <w:r w:rsidR="00030280">
            <w:rPr>
              <w:b/>
              <w:bCs/>
            </w:rPr>
            <w:instrText xml:space="preserve">CITATION ONS9f \l 2057 </w:instrText>
          </w:r>
          <w:r>
            <w:rPr>
              <w:b/>
              <w:bCs/>
            </w:rPr>
            <w:fldChar w:fldCharType="separate"/>
          </w:r>
          <w:r w:rsidR="00FF6A5B">
            <w:rPr>
              <w:noProof/>
            </w:rPr>
            <w:t>(Office for National Statistics, 2019f)</w:t>
          </w:r>
          <w:r>
            <w:rPr>
              <w:b/>
              <w:bCs/>
            </w:rPr>
            <w:fldChar w:fldCharType="end"/>
          </w:r>
        </w:sdtContent>
      </w:sdt>
    </w:p>
    <w:p w14:paraId="7D180E25" w14:textId="77777777" w:rsidR="00BF7032" w:rsidRDefault="00BF7032" w:rsidP="00BF7032">
      <w:pPr>
        <w:jc w:val="right"/>
        <w:rPr>
          <w:b/>
        </w:rPr>
      </w:pPr>
      <w:r>
        <w:rPr>
          <w:b/>
          <w:noProof/>
          <w:lang w:val="en-US"/>
        </w:rPr>
        <w:drawing>
          <wp:inline distT="0" distB="0" distL="0" distR="0" wp14:anchorId="05DDB8C9" wp14:editId="2606A986">
            <wp:extent cx="5731510" cy="2197100"/>
            <wp:effectExtent l="0" t="0" r="2540" b="0"/>
            <wp:docPr id="2" name="Picture 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line chart&#10;&#10;Description automatically generated"/>
                    <pic:cNvPicPr>
                      <a:picLocks noChangeAspect="1"/>
                    </pic:cNvPicPr>
                  </pic:nvPicPr>
                  <pic:blipFill>
                    <a:blip r:embed="rId13"/>
                    <a:stretch>
                      <a:fillRect/>
                    </a:stretch>
                  </pic:blipFill>
                  <pic:spPr>
                    <a:xfrm>
                      <a:off x="0" y="0"/>
                      <a:ext cx="5731510" cy="2197100"/>
                    </a:xfrm>
                    <a:prstGeom prst="rect">
                      <a:avLst/>
                    </a:prstGeom>
                  </pic:spPr>
                </pic:pic>
              </a:graphicData>
            </a:graphic>
          </wp:inline>
        </w:drawing>
      </w:r>
      <w:r>
        <w:rPr>
          <w:b/>
        </w:rPr>
        <w:t xml:space="preserve"> Source: Bank of England - A Millennium of Macroeconomic Data</w:t>
      </w:r>
    </w:p>
    <w:p w14:paraId="1EE3AAA3" w14:textId="42367540" w:rsidR="00BF7032" w:rsidRPr="00437F1A" w:rsidRDefault="00BF7032" w:rsidP="006026CD">
      <w:pPr>
        <w:pStyle w:val="Heading1"/>
        <w:numPr>
          <w:ilvl w:val="0"/>
          <w:numId w:val="6"/>
        </w:numPr>
      </w:pPr>
      <w:r w:rsidRPr="00437F1A">
        <w:t xml:space="preserve">An </w:t>
      </w:r>
      <w:r w:rsidR="00332A4D">
        <w:t>a</w:t>
      </w:r>
      <w:r w:rsidRPr="00437F1A">
        <w:t xml:space="preserve">ttempt to produce a model to compare the way dyslexics were employed in the 1970s with their mode of employment in the </w:t>
      </w:r>
      <w:proofErr w:type="gramStart"/>
      <w:r w:rsidRPr="00437F1A">
        <w:t>2020s</w:t>
      </w:r>
      <w:proofErr w:type="gramEnd"/>
      <w:r w:rsidRPr="00437F1A">
        <w:t xml:space="preserve"> </w:t>
      </w:r>
    </w:p>
    <w:p w14:paraId="1F15F92C" w14:textId="77777777" w:rsidR="00BF7032" w:rsidRPr="00437F1A" w:rsidRDefault="00BF7032" w:rsidP="00BF7032">
      <w:pPr>
        <w:pStyle w:val="ListParagraph"/>
        <w:ind w:left="360"/>
      </w:pPr>
      <w:r w:rsidRPr="00437F1A">
        <w:t xml:space="preserve"> </w:t>
      </w:r>
    </w:p>
    <w:p w14:paraId="2841D057" w14:textId="77777777" w:rsidR="00402908" w:rsidRDefault="00BF7032" w:rsidP="00BF7032">
      <w:pPr>
        <w:pStyle w:val="ListParagraph"/>
        <w:ind w:left="360"/>
      </w:pPr>
      <w:r w:rsidRPr="00437F1A">
        <w:t xml:space="preserve">Professor </w:t>
      </w:r>
      <w:r w:rsidR="006D3FBF">
        <w:t xml:space="preserve">Julie </w:t>
      </w:r>
      <w:r w:rsidRPr="00437F1A">
        <w:t xml:space="preserve">Logan’s Research into entrepreneurship </w:t>
      </w:r>
      <w:r w:rsidR="00466F25" w:rsidRPr="00437F1A">
        <w:t>in</w:t>
      </w:r>
      <w:r w:rsidRPr="00437F1A">
        <w:t xml:space="preserve"> 2000 &amp; 2009</w:t>
      </w:r>
      <w:sdt>
        <w:sdtPr>
          <w:id w:val="1590271437"/>
          <w:citation/>
        </w:sdtPr>
        <w:sdtEndPr/>
        <w:sdtContent>
          <w:r w:rsidRPr="00437F1A">
            <w:fldChar w:fldCharType="begin"/>
          </w:r>
          <w:r w:rsidR="00437F1A">
            <w:instrText xml:space="preserve">CITATION Log14 \l 2057 </w:instrText>
          </w:r>
          <w:r w:rsidRPr="00437F1A">
            <w:fldChar w:fldCharType="separate"/>
          </w:r>
          <w:r w:rsidR="00FF6A5B">
            <w:rPr>
              <w:noProof/>
            </w:rPr>
            <w:t xml:space="preserve"> (Logan P. J., 2009)</w:t>
          </w:r>
          <w:r w:rsidRPr="00437F1A">
            <w:fldChar w:fldCharType="end"/>
          </w:r>
        </w:sdtContent>
      </w:sdt>
      <w:r w:rsidRPr="00437F1A">
        <w:t xml:space="preserve"> was ground-breaking in the way it drew attention to the high incidence of dyslexic entrepreneurs in both the UK and </w:t>
      </w:r>
      <w:proofErr w:type="gramStart"/>
      <w:r w:rsidRPr="00437F1A">
        <w:t>USA .</w:t>
      </w:r>
      <w:proofErr w:type="gramEnd"/>
      <w:r w:rsidR="00E8112B">
        <w:t xml:space="preserve"> Recently research has also </w:t>
      </w:r>
      <w:r w:rsidR="00462B5E">
        <w:t xml:space="preserve">identified the high incidence of entrepreneurs with other </w:t>
      </w:r>
      <w:r w:rsidR="00E047B3">
        <w:t>ND conditions such as ADHD</w:t>
      </w:r>
      <w:sdt>
        <w:sdtPr>
          <w:id w:val="1371187981"/>
          <w:citation/>
        </w:sdtPr>
        <w:sdtEndPr/>
        <w:sdtContent>
          <w:r w:rsidR="00FF6A5B">
            <w:fldChar w:fldCharType="begin"/>
          </w:r>
          <w:r w:rsidR="00FF6A5B">
            <w:instrText xml:space="preserve"> CITATION Arc14 \l 2057 </w:instrText>
          </w:r>
          <w:r w:rsidR="00FF6A5B">
            <w:fldChar w:fldCharType="separate"/>
          </w:r>
          <w:r w:rsidR="00FF6A5B">
            <w:rPr>
              <w:noProof/>
            </w:rPr>
            <w:t xml:space="preserve"> (Archer, 2014)</w:t>
          </w:r>
          <w:r w:rsidR="00FF6A5B">
            <w:fldChar w:fldCharType="end"/>
          </w:r>
        </w:sdtContent>
      </w:sdt>
      <w:r w:rsidR="00E047B3">
        <w:t xml:space="preserve">. </w:t>
      </w:r>
      <w:r w:rsidRPr="00437F1A">
        <w:t xml:space="preserve"> </w:t>
      </w:r>
    </w:p>
    <w:p w14:paraId="2B31E815" w14:textId="77777777" w:rsidR="00402908" w:rsidRDefault="00402908" w:rsidP="00BF7032">
      <w:pPr>
        <w:pStyle w:val="ListParagraph"/>
        <w:ind w:left="360"/>
      </w:pPr>
    </w:p>
    <w:p w14:paraId="2904CB2D" w14:textId="5600D7DA" w:rsidR="00BF7032" w:rsidRDefault="00402908" w:rsidP="00BF7032">
      <w:pPr>
        <w:pStyle w:val="ListParagraph"/>
        <w:ind w:left="360"/>
      </w:pPr>
      <w:r>
        <w:lastRenderedPageBreak/>
        <w:t xml:space="preserve">Julie </w:t>
      </w:r>
      <w:r w:rsidR="00AE2FD2">
        <w:t>L</w:t>
      </w:r>
      <w:r>
        <w:t xml:space="preserve">ogans work </w:t>
      </w:r>
      <w:r w:rsidR="00BF7032" w:rsidRPr="00437F1A">
        <w:t xml:space="preserve">also provides some of the </w:t>
      </w:r>
      <w:r w:rsidR="006B6908">
        <w:t xml:space="preserve">most accessible </w:t>
      </w:r>
      <w:r w:rsidR="00BF7032" w:rsidRPr="00437F1A">
        <w:t xml:space="preserve">data relating to the way dyslexic people are employed. I have tried to use Professor Logans findings in combination with ONS data, to build a model which explores the differences between the way dyslexic people worked in the 1970s </w:t>
      </w:r>
      <w:r w:rsidR="00FD27C2">
        <w:t xml:space="preserve">(often invisibly as few at that time had a diagnosis) </w:t>
      </w:r>
      <w:r w:rsidR="00BF7032" w:rsidRPr="00437F1A">
        <w:t xml:space="preserve">and the ways in which they work now.   </w:t>
      </w:r>
    </w:p>
    <w:p w14:paraId="37F34E0C" w14:textId="77777777" w:rsidR="00BF7032" w:rsidRDefault="00BF7032" w:rsidP="00BF7032">
      <w:pPr>
        <w:rPr>
          <w:b/>
          <w:bCs/>
        </w:rPr>
      </w:pPr>
    </w:p>
    <w:p w14:paraId="025A5CF8" w14:textId="77777777" w:rsidR="004F6E94" w:rsidRPr="009457AA" w:rsidRDefault="004F6E94" w:rsidP="00BF7032">
      <w:pPr>
        <w:rPr>
          <w:b/>
          <w:bCs/>
        </w:rPr>
      </w:pPr>
    </w:p>
    <w:p w14:paraId="0C05EDE4" w14:textId="77777777" w:rsidR="00BF7032" w:rsidRDefault="00BF7032" w:rsidP="000902BB">
      <w:pPr>
        <w:pStyle w:val="Heading2"/>
      </w:pPr>
      <w:r>
        <w:t>3.1 - Assumptions and limitations</w:t>
      </w:r>
    </w:p>
    <w:p w14:paraId="52E27109" w14:textId="77777777" w:rsidR="000902BB" w:rsidRPr="000902BB" w:rsidRDefault="000902BB" w:rsidP="000902BB"/>
    <w:p w14:paraId="5A83FAE6" w14:textId="77777777" w:rsidR="00BF7032" w:rsidRDefault="00BF7032" w:rsidP="00BF7032">
      <w:r>
        <w:t>Several assumptions are embedded within my model.</w:t>
      </w:r>
    </w:p>
    <w:p w14:paraId="143D36CE" w14:textId="7527706A" w:rsidR="00BF7032" w:rsidRDefault="00BF7032" w:rsidP="00BF7032">
      <w:pPr>
        <w:pStyle w:val="ListParagraph"/>
        <w:numPr>
          <w:ilvl w:val="0"/>
          <w:numId w:val="3"/>
        </w:numPr>
      </w:pPr>
      <w:r>
        <w:t>The incidence of dyslexia in the population is 10% and constant through time.</w:t>
      </w:r>
      <w:r w:rsidR="00945F54">
        <w:t xml:space="preserve"> </w:t>
      </w:r>
      <w:r>
        <w:t xml:space="preserve"> </w:t>
      </w:r>
      <w:sdt>
        <w:sdtPr>
          <w:id w:val="-1034727455"/>
          <w:citation/>
        </w:sdtPr>
        <w:sdtEndPr/>
        <w:sdtContent>
          <w:r>
            <w:fldChar w:fldCharType="begin"/>
          </w:r>
          <w:r w:rsidR="00466F25">
            <w:instrText xml:space="preserve">CITATION NHS \l 2057 </w:instrText>
          </w:r>
          <w:r>
            <w:fldChar w:fldCharType="separate"/>
          </w:r>
          <w:r w:rsidR="00FF6A5B">
            <w:rPr>
              <w:noProof/>
            </w:rPr>
            <w:t>(NHS, 2018)</w:t>
          </w:r>
          <w:r>
            <w:fldChar w:fldCharType="end"/>
          </w:r>
        </w:sdtContent>
      </w:sdt>
      <w:r w:rsidR="00945F54" w:rsidRPr="00945F54">
        <w:t xml:space="preserve"> </w:t>
      </w:r>
      <w:r w:rsidR="00FE2BBC">
        <w:t>O</w:t>
      </w:r>
      <w:r w:rsidR="00945F54">
        <w:t xml:space="preserve">nly a </w:t>
      </w:r>
      <w:r w:rsidR="00FE2BBC">
        <w:t>relatively</w:t>
      </w:r>
      <w:r w:rsidR="00945F54">
        <w:t xml:space="preserve"> small proportion of dyslexic people have a diagnosis </w:t>
      </w:r>
      <w:sdt>
        <w:sdtPr>
          <w:id w:val="834811351"/>
          <w:citation/>
        </w:sdtPr>
        <w:sdtEndPr/>
        <w:sdtContent>
          <w:r w:rsidR="009C6ECF">
            <w:fldChar w:fldCharType="begin"/>
          </w:r>
          <w:r w:rsidR="009C6ECF">
            <w:instrText xml:space="preserve"> CITATION BBC192 \l 2057 </w:instrText>
          </w:r>
          <w:r w:rsidR="009C6ECF">
            <w:fldChar w:fldCharType="separate"/>
          </w:r>
          <w:r w:rsidR="009C6ECF">
            <w:rPr>
              <w:noProof/>
            </w:rPr>
            <w:t>(BBC, 2019)</w:t>
          </w:r>
          <w:r w:rsidR="009C6ECF">
            <w:fldChar w:fldCharType="end"/>
          </w:r>
        </w:sdtContent>
      </w:sdt>
      <w:r w:rsidR="007153AB">
        <w:t xml:space="preserve">. The number of people with a diagnosis is however increasing through time. </w:t>
      </w:r>
    </w:p>
    <w:p w14:paraId="0B6C29DF" w14:textId="77777777" w:rsidR="00BF7032" w:rsidRDefault="00BF7032" w:rsidP="00BF7032">
      <w:pPr>
        <w:pStyle w:val="ListParagraph"/>
      </w:pPr>
    </w:p>
    <w:p w14:paraId="4F8F09DB" w14:textId="578477A7" w:rsidR="00BF7032" w:rsidRDefault="00BF7032" w:rsidP="00BF7032">
      <w:pPr>
        <w:pStyle w:val="ListParagraph"/>
        <w:numPr>
          <w:ilvl w:val="0"/>
          <w:numId w:val="3"/>
        </w:numPr>
      </w:pPr>
      <w:r>
        <w:t xml:space="preserve">The incidence of dyslexia among self-employed people is the same as that among entrepreneurs. Professor Logan estimates this figure to be 19%. </w:t>
      </w:r>
      <w:r w:rsidR="00FF3783">
        <w:t xml:space="preserve">Professor </w:t>
      </w:r>
      <w:r w:rsidR="00383DC2">
        <w:t>L</w:t>
      </w:r>
      <w:r w:rsidR="00FF3783">
        <w:t xml:space="preserve">ogan however defined an entrepreneur as someone who ran a business rather than someone who was </w:t>
      </w:r>
      <w:r w:rsidR="005C4A95">
        <w:t>self-employed</w:t>
      </w:r>
      <w:r w:rsidR="00383DC2">
        <w:t xml:space="preserve">, to this end she excluded some </w:t>
      </w:r>
      <w:r w:rsidR="005C4A95">
        <w:t>self-employed</w:t>
      </w:r>
      <w:r w:rsidR="00383DC2">
        <w:t xml:space="preserve"> people from her data set. </w:t>
      </w:r>
    </w:p>
    <w:p w14:paraId="3D79F917" w14:textId="77777777" w:rsidR="00BF7032" w:rsidRDefault="00BF7032" w:rsidP="00BF7032">
      <w:pPr>
        <w:pStyle w:val="ListParagraph"/>
      </w:pPr>
    </w:p>
    <w:p w14:paraId="0B55BBBA" w14:textId="28B9647A" w:rsidR="00BF7032" w:rsidRDefault="00BF7032" w:rsidP="00BF7032">
      <w:pPr>
        <w:pStyle w:val="ListParagraph"/>
        <w:numPr>
          <w:ilvl w:val="0"/>
          <w:numId w:val="3"/>
        </w:numPr>
      </w:pPr>
      <w:r>
        <w:t xml:space="preserve">The incidence of dyslexia among people employed in professional occupations is the same as that among corporate managers. This was </w:t>
      </w:r>
      <w:r w:rsidR="00AF53AB">
        <w:t>estimated to</w:t>
      </w:r>
      <w:r>
        <w:t xml:space="preserve"> be 3% by Professor Logan.</w:t>
      </w:r>
    </w:p>
    <w:p w14:paraId="730F9646" w14:textId="77777777" w:rsidR="00BF7032" w:rsidRDefault="00BF7032" w:rsidP="00BF7032">
      <w:pPr>
        <w:pStyle w:val="ListParagraph"/>
      </w:pPr>
    </w:p>
    <w:p w14:paraId="3804F51D" w14:textId="4E759614" w:rsidR="00BF7032" w:rsidRDefault="00BF7032" w:rsidP="00BF7032">
      <w:pPr>
        <w:pStyle w:val="ListParagraph"/>
        <w:numPr>
          <w:ilvl w:val="0"/>
          <w:numId w:val="3"/>
        </w:numPr>
      </w:pPr>
      <w:r>
        <w:t xml:space="preserve">Dyslexic people are as likely to be employed in non-graduate </w:t>
      </w:r>
      <w:r w:rsidR="008D15DA">
        <w:t xml:space="preserve">(pay </w:t>
      </w:r>
      <w:r w:rsidR="004C4661">
        <w:t>tax as</w:t>
      </w:r>
      <w:r w:rsidR="008D15DA">
        <w:t xml:space="preserve"> you earn, </w:t>
      </w:r>
      <w:r>
        <w:t xml:space="preserve">PAYE roles as </w:t>
      </w:r>
      <w:r w:rsidR="008D15DA">
        <w:t>non-dyslexic</w:t>
      </w:r>
      <w:r>
        <w:t xml:space="preserve"> people. This may be optimistic as </w:t>
      </w:r>
      <w:sdt>
        <w:sdtPr>
          <w:id w:val="-2131239156"/>
          <w:citation/>
        </w:sdtPr>
        <w:sdtEndPr/>
        <w:sdtContent>
          <w:r>
            <w:fldChar w:fldCharType="begin"/>
          </w:r>
          <w:r w:rsidR="00466F25">
            <w:instrText xml:space="preserve">CITATION Nom \l 2057 </w:instrText>
          </w:r>
          <w:r>
            <w:fldChar w:fldCharType="separate"/>
          </w:r>
          <w:r w:rsidR="00FF6A5B">
            <w:rPr>
              <w:noProof/>
            </w:rPr>
            <w:t>(Nomis, 2021)</w:t>
          </w:r>
          <w:r>
            <w:fldChar w:fldCharType="end"/>
          </w:r>
        </w:sdtContent>
      </w:sdt>
      <w:r>
        <w:t xml:space="preserve"> show that associate professional, administrative, and secretarial roles (office jobs) account for 58% of all non-graduate employment.  Dyslexic people may face many of the same challenges sustaining this type of employment as they face in sustaining employment in professional roles. </w:t>
      </w:r>
    </w:p>
    <w:p w14:paraId="313C32C7" w14:textId="77777777" w:rsidR="00BF7032" w:rsidRDefault="00BF7032" w:rsidP="00BF7032">
      <w:pPr>
        <w:pStyle w:val="ListParagraph"/>
      </w:pPr>
    </w:p>
    <w:p w14:paraId="6D74BC94" w14:textId="77777777" w:rsidR="00BF7032" w:rsidRDefault="00BF7032" w:rsidP="00BF7032">
      <w:r>
        <w:t xml:space="preserve">The model has limitations. </w:t>
      </w:r>
    </w:p>
    <w:p w14:paraId="32737420" w14:textId="1B730CA3" w:rsidR="00BF7032" w:rsidRPr="00030280" w:rsidRDefault="00BF7032" w:rsidP="00BF7032">
      <w:pPr>
        <w:numPr>
          <w:ilvl w:val="0"/>
          <w:numId w:val="4"/>
        </w:numPr>
        <w:contextualSpacing/>
      </w:pPr>
      <w:r w:rsidRPr="00030280">
        <w:t xml:space="preserve">Professor Logan's sample size was small 215. The 95% confidence interval for her estimate of the incidence of dyslexia among entrepreneurs and corporate managers was (+ or </w:t>
      </w:r>
      <w:r w:rsidR="00437F1A" w:rsidRPr="00030280">
        <w:t xml:space="preserve">– </w:t>
      </w:r>
      <w:r w:rsidR="00437F1A">
        <w:t>2.5</w:t>
      </w:r>
      <w:r w:rsidRPr="00030280">
        <w:t>% and 5% respectively.)</w:t>
      </w:r>
      <w:r w:rsidR="00030280" w:rsidRPr="00030280">
        <w:t xml:space="preserve"> </w:t>
      </w:r>
      <w:r w:rsidRPr="00030280">
        <w:t>This was sufficient to support her findings regarding the prevalence of dyslexic entrepreneurs. However, when the data is combined with the ONS data the 95% confidence intervals widen as numbers grow larger.  For the 1970 data they rise to + or – 3% for corporate managers / professionals, + or – 4 for entrepreneurs / self-</w:t>
      </w:r>
      <w:proofErr w:type="gramStart"/>
      <w:r w:rsidRPr="00030280">
        <w:t>employed  and</w:t>
      </w:r>
      <w:proofErr w:type="gramEnd"/>
      <w:r w:rsidRPr="00030280">
        <w:t xml:space="preserve"> + or – 7 for the calculated figure for unemployment . For the 2020 data the confidence intervals for professionals are + or – 7</w:t>
      </w:r>
      <w:r w:rsidR="00030280" w:rsidRPr="00030280">
        <w:t>%,</w:t>
      </w:r>
      <w:r w:rsidRPr="00030280">
        <w:t xml:space="preserve"> for the self-</w:t>
      </w:r>
      <w:r w:rsidR="00437F1A" w:rsidRPr="00030280">
        <w:t>employed they</w:t>
      </w:r>
      <w:r w:rsidRPr="00030280">
        <w:t xml:space="preserve"> are +</w:t>
      </w:r>
      <w:r w:rsidR="00030280">
        <w:t xml:space="preserve"> </w:t>
      </w:r>
      <w:r w:rsidRPr="00030280">
        <w:t xml:space="preserve">or – 8% </w:t>
      </w:r>
      <w:r w:rsidR="00437F1A" w:rsidRPr="00030280">
        <w:t>and for</w:t>
      </w:r>
      <w:r w:rsidRPr="00030280">
        <w:t xml:space="preserve"> unemployment they are + or – 14%.  This means that it is not possible to be 95% confident of</w:t>
      </w:r>
      <w:r w:rsidR="0039592F" w:rsidRPr="00030280">
        <w:t xml:space="preserve"> some </w:t>
      </w:r>
      <w:r w:rsidRPr="00030280">
        <w:t xml:space="preserve">of the comparisons between 1970 and </w:t>
      </w:r>
      <w:r w:rsidR="00437F1A" w:rsidRPr="00030280">
        <w:t xml:space="preserve">2020 </w:t>
      </w:r>
      <w:r w:rsidR="00437F1A">
        <w:t xml:space="preserve">which draw on </w:t>
      </w:r>
      <w:r w:rsidRPr="00030280">
        <w:t xml:space="preserve">data generated by the </w:t>
      </w:r>
      <w:r w:rsidR="00030280" w:rsidRPr="00030280">
        <w:t>model.</w:t>
      </w:r>
      <w:r w:rsidRPr="00030280">
        <w:t xml:space="preserve"> The figures are however illustrative of trends that are more likely than not to have occurred. </w:t>
      </w:r>
    </w:p>
    <w:p w14:paraId="722204FD" w14:textId="77777777" w:rsidR="00BF7032" w:rsidRDefault="00BF7032" w:rsidP="00BF7032">
      <w:pPr>
        <w:ind w:left="720"/>
        <w:contextualSpacing/>
      </w:pPr>
    </w:p>
    <w:p w14:paraId="3FF85BAA" w14:textId="0139FCB1" w:rsidR="00BF7032" w:rsidRDefault="00BF7032" w:rsidP="002130CB">
      <w:pPr>
        <w:numPr>
          <w:ilvl w:val="0"/>
          <w:numId w:val="4"/>
        </w:numPr>
        <w:contextualSpacing/>
      </w:pPr>
      <w:r w:rsidRPr="0039592F">
        <w:lastRenderedPageBreak/>
        <w:t xml:space="preserve">The research was done at a point in time. Professor Logans UK research took place in the year 2000. In </w:t>
      </w:r>
      <w:r w:rsidR="00030280">
        <w:t xml:space="preserve">the </w:t>
      </w:r>
      <w:r w:rsidRPr="0039592F">
        <w:t xml:space="preserve">1970s the barriers to dyslexic </w:t>
      </w:r>
      <w:r w:rsidR="00BC7876">
        <w:t>people</w:t>
      </w:r>
      <w:r w:rsidRPr="0039592F">
        <w:t xml:space="preserve"> entering professional </w:t>
      </w:r>
      <w:r w:rsidR="00072D85">
        <w:t xml:space="preserve">or office </w:t>
      </w:r>
      <w:r w:rsidRPr="0039592F">
        <w:t xml:space="preserve">occupations were lower. </w:t>
      </w:r>
      <w:r w:rsidR="0039592F" w:rsidRPr="0039592F">
        <w:t xml:space="preserve">Many managers had </w:t>
      </w:r>
      <w:r w:rsidR="00030280" w:rsidRPr="0039592F">
        <w:t>secretaries,</w:t>
      </w:r>
      <w:r w:rsidR="0039592F" w:rsidRPr="0039592F">
        <w:t xml:space="preserve"> p</w:t>
      </w:r>
      <w:r w:rsidRPr="0039592F">
        <w:t>sychometric testing was in its infancy, interviews were less formal and performance appraisals were rare.  By 2020 barriers to entry had increased. It is therefore quite likely the percentage of dyslexic people who were in professional occupations in 1970 was greater than 3% and that this figure has continued to fall below 3</w:t>
      </w:r>
      <w:proofErr w:type="gramStart"/>
      <w:r w:rsidRPr="0039592F">
        <w:t>%  .</w:t>
      </w:r>
      <w:proofErr w:type="gramEnd"/>
      <w:r w:rsidRPr="0039592F">
        <w:t xml:space="preserve"> Conversely the percentage of entrepreneurs who are dyslexic may have risen above 19%. </w:t>
      </w:r>
      <w:r w:rsidR="0039592F">
        <w:t xml:space="preserve">Access to </w:t>
      </w:r>
      <w:r w:rsidRPr="0039592F">
        <w:t>broadband and IT have made it easier to freelance</w:t>
      </w:r>
      <w:r w:rsidR="0039592F">
        <w:t>.  Furthermore</w:t>
      </w:r>
      <w:r w:rsidRPr="0039592F">
        <w:t xml:space="preserve"> fast growth sectors </w:t>
      </w:r>
      <w:r w:rsidR="0039592F">
        <w:t xml:space="preserve">which employ a disproportionate number of Neurodivergent people </w:t>
      </w:r>
      <w:r w:rsidRPr="0039592F">
        <w:t xml:space="preserve">such as the creative digital and tech industries </w:t>
      </w:r>
      <w:sdt>
        <w:sdtPr>
          <w:id w:val="771740077"/>
          <w:citation/>
        </w:sdtPr>
        <w:sdtEndPr/>
        <w:sdtContent>
          <w:r w:rsidR="0039592F" w:rsidRPr="0039592F">
            <w:fldChar w:fldCharType="begin"/>
          </w:r>
          <w:r w:rsidR="00030280">
            <w:instrText xml:space="preserve">CITATION BIM19 \l 2057 </w:instrText>
          </w:r>
          <w:r w:rsidR="0039592F" w:rsidRPr="0039592F">
            <w:fldChar w:fldCharType="separate"/>
          </w:r>
          <w:r w:rsidR="00FF6A5B">
            <w:rPr>
              <w:noProof/>
            </w:rPr>
            <w:t>(BIMA, 2019)</w:t>
          </w:r>
          <w:r w:rsidR="0039592F" w:rsidRPr="0039592F">
            <w:fldChar w:fldCharType="end"/>
          </w:r>
        </w:sdtContent>
      </w:sdt>
      <w:r w:rsidR="00325F33">
        <w:t xml:space="preserve"> </w:t>
      </w:r>
      <w:r w:rsidRPr="0039592F">
        <w:t>also employ large number of freelancers  (</w:t>
      </w:r>
      <w:sdt>
        <w:sdtPr>
          <w:id w:val="1822070769"/>
          <w:citation/>
        </w:sdtPr>
        <w:sdtEndPr/>
        <w:sdtContent>
          <w:r w:rsidR="0039592F">
            <w:fldChar w:fldCharType="begin"/>
          </w:r>
          <w:r w:rsidR="00030280">
            <w:instrText xml:space="preserve">CITATION Cre17 \l 2057 </w:instrText>
          </w:r>
          <w:r w:rsidR="0039592F">
            <w:fldChar w:fldCharType="separate"/>
          </w:r>
          <w:r w:rsidR="00FF6A5B">
            <w:rPr>
              <w:noProof/>
            </w:rPr>
            <w:t xml:space="preserve"> (Creative Industries Federation, 2017)</w:t>
          </w:r>
          <w:r w:rsidR="0039592F">
            <w:fldChar w:fldCharType="end"/>
          </w:r>
        </w:sdtContent>
      </w:sdt>
    </w:p>
    <w:p w14:paraId="22152951" w14:textId="77777777" w:rsidR="0039592F" w:rsidRDefault="0039592F" w:rsidP="0039592F">
      <w:pPr>
        <w:ind w:left="720"/>
        <w:contextualSpacing/>
      </w:pPr>
    </w:p>
    <w:p w14:paraId="35E15423" w14:textId="581176DF" w:rsidR="00BF7032" w:rsidRDefault="00BF7032" w:rsidP="00BF7032">
      <w:pPr>
        <w:numPr>
          <w:ilvl w:val="0"/>
          <w:numId w:val="4"/>
        </w:numPr>
        <w:spacing w:after="0" w:line="240" w:lineRule="auto"/>
        <w:contextualSpacing/>
      </w:pPr>
      <w:r>
        <w:t xml:space="preserve">Dyslexia frequently carries stigma; disclosure can lead to discrimination. </w:t>
      </w:r>
      <w:sdt>
        <w:sdtPr>
          <w:id w:val="-329449851"/>
          <w:citation/>
        </w:sdtPr>
        <w:sdtEndPr/>
        <w:sdtContent>
          <w:r>
            <w:fldChar w:fldCharType="begin"/>
          </w:r>
          <w:r w:rsidR="00030280">
            <w:instrText xml:space="preserve">CITATION Ach17 \l 2057 </w:instrText>
          </w:r>
          <w:r>
            <w:fldChar w:fldCharType="separate"/>
          </w:r>
          <w:r w:rsidR="00FF6A5B">
            <w:rPr>
              <w:noProof/>
            </w:rPr>
            <w:t>(Achievability, 2017)</w:t>
          </w:r>
          <w:r>
            <w:fldChar w:fldCharType="end"/>
          </w:r>
        </w:sdtContent>
      </w:sdt>
      <w:r>
        <w:t xml:space="preserve"> Dyslexic corporate managers may therefore have not accurately disclosed to Professor Logan.  </w:t>
      </w:r>
    </w:p>
    <w:p w14:paraId="43152D37" w14:textId="77777777" w:rsidR="00030280" w:rsidRDefault="00030280" w:rsidP="00030280">
      <w:pPr>
        <w:spacing w:after="0" w:line="240" w:lineRule="auto"/>
        <w:ind w:left="720"/>
        <w:contextualSpacing/>
      </w:pPr>
    </w:p>
    <w:p w14:paraId="73A7171A" w14:textId="77777777" w:rsidR="00BF7032" w:rsidRDefault="00BF7032" w:rsidP="00B803A9">
      <w:pPr>
        <w:pStyle w:val="Heading2"/>
      </w:pPr>
      <w:r>
        <w:t xml:space="preserve">3.2 - Findings </w:t>
      </w:r>
    </w:p>
    <w:p w14:paraId="2B4555FB" w14:textId="77777777" w:rsidR="00FD0739" w:rsidRPr="00FD0739" w:rsidRDefault="00FD0739" w:rsidP="00FD0739"/>
    <w:p w14:paraId="6C2E3974" w14:textId="77777777" w:rsidR="00BF7032" w:rsidRDefault="00BF7032" w:rsidP="00BF7032">
      <w:pPr>
        <w:rPr>
          <w:b/>
          <w:bCs/>
        </w:rPr>
      </w:pPr>
      <w:r w:rsidRPr="00030280">
        <w:rPr>
          <w:b/>
          <w:bCs/>
        </w:rPr>
        <w:t>Table 5 - Model Findings – Calculation of Percentage of Dyslexic and Non-Dyslexic People working in different occupation categories.</w:t>
      </w:r>
      <w:r>
        <w:rPr>
          <w:b/>
          <w:bCs/>
        </w:rPr>
        <w:t xml:space="preserve"> </w:t>
      </w:r>
    </w:p>
    <w:tbl>
      <w:tblPr>
        <w:tblStyle w:val="TableGrid"/>
        <w:tblW w:w="9067" w:type="dxa"/>
        <w:tblLayout w:type="fixed"/>
        <w:tblLook w:val="04A0" w:firstRow="1" w:lastRow="0" w:firstColumn="1" w:lastColumn="0" w:noHBand="0" w:noVBand="1"/>
      </w:tblPr>
      <w:tblGrid>
        <w:gridCol w:w="1502"/>
        <w:gridCol w:w="1503"/>
        <w:gridCol w:w="1503"/>
        <w:gridCol w:w="1503"/>
        <w:gridCol w:w="1781"/>
        <w:gridCol w:w="1275"/>
      </w:tblGrid>
      <w:tr w:rsidR="00BF7032" w14:paraId="0648DF8B" w14:textId="77777777" w:rsidTr="00072D85">
        <w:tc>
          <w:tcPr>
            <w:tcW w:w="1502" w:type="dxa"/>
          </w:tcPr>
          <w:p w14:paraId="445EFE78" w14:textId="77777777" w:rsidR="00BF7032" w:rsidRDefault="00BF7032" w:rsidP="00C642F7">
            <w:r>
              <w:t>1970</w:t>
            </w:r>
          </w:p>
        </w:tc>
        <w:tc>
          <w:tcPr>
            <w:tcW w:w="1503" w:type="dxa"/>
          </w:tcPr>
          <w:p w14:paraId="0B5507A8" w14:textId="77777777" w:rsidR="00BF7032" w:rsidRDefault="00BF7032" w:rsidP="00C642F7">
            <w:r>
              <w:t xml:space="preserve">Professional Scientific Technical Occupations </w:t>
            </w:r>
          </w:p>
        </w:tc>
        <w:tc>
          <w:tcPr>
            <w:tcW w:w="1503" w:type="dxa"/>
          </w:tcPr>
          <w:p w14:paraId="58136523" w14:textId="77777777" w:rsidR="00BF7032" w:rsidRDefault="00BF7032" w:rsidP="00C642F7">
            <w:r>
              <w:t xml:space="preserve">Other PAYE Employment </w:t>
            </w:r>
          </w:p>
        </w:tc>
        <w:tc>
          <w:tcPr>
            <w:tcW w:w="1503" w:type="dxa"/>
            <w:shd w:val="clear" w:color="auto" w:fill="A6A6A6" w:themeFill="background1" w:themeFillShade="A6"/>
          </w:tcPr>
          <w:p w14:paraId="7B1BD6E3" w14:textId="77777777" w:rsidR="00BF7032" w:rsidRPr="00AB6B21" w:rsidRDefault="00BF7032" w:rsidP="00C642F7">
            <w:r w:rsidRPr="00AB6B21">
              <w:t>All PAYE Employment (</w:t>
            </w:r>
            <w:r>
              <w:t>P</w:t>
            </w:r>
            <w:r w:rsidRPr="00AB6B21">
              <w:t xml:space="preserve">rofessional and Non-Professional) </w:t>
            </w:r>
          </w:p>
        </w:tc>
        <w:tc>
          <w:tcPr>
            <w:tcW w:w="1781" w:type="dxa"/>
          </w:tcPr>
          <w:p w14:paraId="760FC73C" w14:textId="77777777" w:rsidR="00BF7032" w:rsidRDefault="00BF7032" w:rsidP="00C642F7">
            <w:r>
              <w:t xml:space="preserve">Self-Employment </w:t>
            </w:r>
          </w:p>
        </w:tc>
        <w:tc>
          <w:tcPr>
            <w:tcW w:w="1275" w:type="dxa"/>
          </w:tcPr>
          <w:p w14:paraId="565B43E7" w14:textId="77777777" w:rsidR="00BF7032" w:rsidRDefault="00BF7032" w:rsidP="00C642F7">
            <w:r>
              <w:t xml:space="preserve">Unemployed </w:t>
            </w:r>
          </w:p>
        </w:tc>
      </w:tr>
      <w:tr w:rsidR="00BF7032" w14:paraId="766E5018" w14:textId="77777777" w:rsidTr="00072D85">
        <w:tc>
          <w:tcPr>
            <w:tcW w:w="1502" w:type="dxa"/>
          </w:tcPr>
          <w:p w14:paraId="34B49D2E" w14:textId="77777777" w:rsidR="00BF7032" w:rsidRDefault="00BF7032" w:rsidP="00C642F7">
            <w:r>
              <w:t xml:space="preserve">All </w:t>
            </w:r>
          </w:p>
        </w:tc>
        <w:tc>
          <w:tcPr>
            <w:tcW w:w="1503" w:type="dxa"/>
          </w:tcPr>
          <w:p w14:paraId="0FFEC4B5" w14:textId="77777777" w:rsidR="00BF7032" w:rsidRDefault="00BF7032" w:rsidP="00C642F7">
            <w:r>
              <w:t xml:space="preserve">13%   </w:t>
            </w:r>
          </w:p>
        </w:tc>
        <w:tc>
          <w:tcPr>
            <w:tcW w:w="1503" w:type="dxa"/>
          </w:tcPr>
          <w:p w14:paraId="3BCD02CF" w14:textId="77777777" w:rsidR="00BF7032" w:rsidRDefault="00BF7032" w:rsidP="00C642F7">
            <w:r>
              <w:t>75%</w:t>
            </w:r>
          </w:p>
        </w:tc>
        <w:tc>
          <w:tcPr>
            <w:tcW w:w="1503" w:type="dxa"/>
            <w:shd w:val="clear" w:color="auto" w:fill="A6A6A6" w:themeFill="background1" w:themeFillShade="A6"/>
          </w:tcPr>
          <w:p w14:paraId="42F19BBC" w14:textId="77777777" w:rsidR="00BF7032" w:rsidRPr="00AB6B21" w:rsidRDefault="00BF7032" w:rsidP="00C642F7">
            <w:r w:rsidRPr="00AB6B21">
              <w:t>88%</w:t>
            </w:r>
          </w:p>
        </w:tc>
        <w:tc>
          <w:tcPr>
            <w:tcW w:w="1781" w:type="dxa"/>
          </w:tcPr>
          <w:p w14:paraId="49F061A6" w14:textId="77777777" w:rsidR="00BF7032" w:rsidRDefault="00BF7032" w:rsidP="00C642F7">
            <w:r>
              <w:t>8%</w:t>
            </w:r>
          </w:p>
        </w:tc>
        <w:tc>
          <w:tcPr>
            <w:tcW w:w="1275" w:type="dxa"/>
          </w:tcPr>
          <w:p w14:paraId="25DEFBCB" w14:textId="77777777" w:rsidR="00BF7032" w:rsidRDefault="00BF7032" w:rsidP="00C642F7">
            <w:r>
              <w:t>4%</w:t>
            </w:r>
          </w:p>
        </w:tc>
      </w:tr>
      <w:tr w:rsidR="00BF7032" w14:paraId="2882B02B" w14:textId="77777777" w:rsidTr="00072D85">
        <w:tc>
          <w:tcPr>
            <w:tcW w:w="1502" w:type="dxa"/>
          </w:tcPr>
          <w:p w14:paraId="01038F26" w14:textId="77777777" w:rsidR="00BF7032" w:rsidRDefault="00BF7032" w:rsidP="00C642F7">
            <w:r>
              <w:t xml:space="preserve">Dyslexic People </w:t>
            </w:r>
          </w:p>
        </w:tc>
        <w:tc>
          <w:tcPr>
            <w:tcW w:w="1503" w:type="dxa"/>
          </w:tcPr>
          <w:p w14:paraId="009763F9" w14:textId="20561D81" w:rsidR="00BF7032" w:rsidRPr="00D417A7" w:rsidRDefault="00BF7032" w:rsidP="00C642F7">
            <w:r w:rsidRPr="00D417A7">
              <w:t>4%</w:t>
            </w:r>
            <w:proofErr w:type="gramStart"/>
            <w:r>
              <w:t xml:space="preserve"> </w:t>
            </w:r>
            <w:r w:rsidR="00437F1A">
              <w:t xml:space="preserve">  (</w:t>
            </w:r>
            <w:proofErr w:type="gramEnd"/>
            <w:r>
              <w:t>+</w:t>
            </w:r>
            <w:r w:rsidR="00437F1A">
              <w:t xml:space="preserve"> </w:t>
            </w:r>
            <w:r>
              <w:t>or</w:t>
            </w:r>
            <w:r w:rsidR="00437F1A">
              <w:t xml:space="preserve"> </w:t>
            </w:r>
            <w:r>
              <w:t>-</w:t>
            </w:r>
            <w:r w:rsidR="00966ABA">
              <w:t xml:space="preserve"> </w:t>
            </w:r>
            <w:r>
              <w:t>3%</w:t>
            </w:r>
          </w:p>
        </w:tc>
        <w:tc>
          <w:tcPr>
            <w:tcW w:w="1503" w:type="dxa"/>
          </w:tcPr>
          <w:p w14:paraId="4AE2FFA7" w14:textId="77777777" w:rsidR="00BF7032" w:rsidRDefault="00BF7032" w:rsidP="00C642F7">
            <w:r>
              <w:t>75%</w:t>
            </w:r>
          </w:p>
        </w:tc>
        <w:tc>
          <w:tcPr>
            <w:tcW w:w="1503" w:type="dxa"/>
            <w:shd w:val="clear" w:color="auto" w:fill="A6A6A6" w:themeFill="background1" w:themeFillShade="A6"/>
          </w:tcPr>
          <w:p w14:paraId="017697DA" w14:textId="77777777" w:rsidR="00BF7032" w:rsidRPr="00AB6B21" w:rsidRDefault="00BF7032" w:rsidP="00C642F7">
            <w:r w:rsidRPr="00AB6B21">
              <w:t>79%</w:t>
            </w:r>
          </w:p>
        </w:tc>
        <w:tc>
          <w:tcPr>
            <w:tcW w:w="1781" w:type="dxa"/>
          </w:tcPr>
          <w:p w14:paraId="3DAC39D2" w14:textId="22B6A38C" w:rsidR="00BF7032" w:rsidRDefault="00BF7032" w:rsidP="00C642F7">
            <w:r>
              <w:t>15% (+</w:t>
            </w:r>
            <w:r w:rsidR="00437F1A">
              <w:t xml:space="preserve"> </w:t>
            </w:r>
            <w:r>
              <w:t>or</w:t>
            </w:r>
            <w:r w:rsidR="00966ABA">
              <w:t xml:space="preserve"> </w:t>
            </w:r>
            <w:r w:rsidR="00437F1A">
              <w:t>- 4</w:t>
            </w:r>
            <w:r>
              <w:t>%)</w:t>
            </w:r>
          </w:p>
        </w:tc>
        <w:tc>
          <w:tcPr>
            <w:tcW w:w="1275" w:type="dxa"/>
          </w:tcPr>
          <w:p w14:paraId="13330CE7" w14:textId="67F6490B" w:rsidR="00BF7032" w:rsidRDefault="00BF7032" w:rsidP="00C642F7">
            <w:r>
              <w:t>6</w:t>
            </w:r>
            <w:r w:rsidR="00437F1A">
              <w:t>% (</w:t>
            </w:r>
            <w:r>
              <w:t>+</w:t>
            </w:r>
            <w:r w:rsidR="00437F1A">
              <w:t xml:space="preserve"> </w:t>
            </w:r>
            <w:r>
              <w:t>or</w:t>
            </w:r>
            <w:r w:rsidR="00437F1A">
              <w:t xml:space="preserve"> </w:t>
            </w:r>
            <w:r>
              <w:t>- 7%)</w:t>
            </w:r>
          </w:p>
        </w:tc>
      </w:tr>
      <w:tr w:rsidR="00BF7032" w14:paraId="38EE8FD9" w14:textId="77777777" w:rsidTr="00072D85">
        <w:tc>
          <w:tcPr>
            <w:tcW w:w="1502" w:type="dxa"/>
          </w:tcPr>
          <w:p w14:paraId="38AD2894" w14:textId="77777777" w:rsidR="00BF7032" w:rsidRDefault="00BF7032" w:rsidP="00C642F7">
            <w:r>
              <w:t>Non-Dyslexic People</w:t>
            </w:r>
          </w:p>
        </w:tc>
        <w:tc>
          <w:tcPr>
            <w:tcW w:w="1503" w:type="dxa"/>
          </w:tcPr>
          <w:p w14:paraId="65FA9021" w14:textId="77777777" w:rsidR="00BF7032" w:rsidRDefault="00BF7032" w:rsidP="00C642F7">
            <w:r>
              <w:t>14%</w:t>
            </w:r>
          </w:p>
        </w:tc>
        <w:tc>
          <w:tcPr>
            <w:tcW w:w="1503" w:type="dxa"/>
          </w:tcPr>
          <w:p w14:paraId="58781E13" w14:textId="77777777" w:rsidR="00BF7032" w:rsidRDefault="00BF7032" w:rsidP="00C642F7">
            <w:r>
              <w:t>75%</w:t>
            </w:r>
          </w:p>
        </w:tc>
        <w:tc>
          <w:tcPr>
            <w:tcW w:w="1503" w:type="dxa"/>
            <w:shd w:val="clear" w:color="auto" w:fill="A6A6A6" w:themeFill="background1" w:themeFillShade="A6"/>
          </w:tcPr>
          <w:p w14:paraId="1326A1D0" w14:textId="77777777" w:rsidR="00BF7032" w:rsidRPr="00AB6B21" w:rsidRDefault="00BF7032" w:rsidP="00C642F7">
            <w:r w:rsidRPr="00AB6B21">
              <w:t>89%</w:t>
            </w:r>
          </w:p>
        </w:tc>
        <w:tc>
          <w:tcPr>
            <w:tcW w:w="1781" w:type="dxa"/>
          </w:tcPr>
          <w:p w14:paraId="4C1A530C" w14:textId="77777777" w:rsidR="00BF7032" w:rsidRDefault="00BF7032" w:rsidP="00C642F7">
            <w:r>
              <w:t>7%</w:t>
            </w:r>
          </w:p>
        </w:tc>
        <w:tc>
          <w:tcPr>
            <w:tcW w:w="1275" w:type="dxa"/>
          </w:tcPr>
          <w:p w14:paraId="28F0CCD3" w14:textId="77777777" w:rsidR="00BF7032" w:rsidRDefault="00BF7032" w:rsidP="00C642F7">
            <w:r>
              <w:t>4%</w:t>
            </w:r>
          </w:p>
        </w:tc>
      </w:tr>
      <w:tr w:rsidR="00BF7032" w14:paraId="64895C82" w14:textId="77777777" w:rsidTr="00072D85">
        <w:tc>
          <w:tcPr>
            <w:tcW w:w="1502" w:type="dxa"/>
          </w:tcPr>
          <w:p w14:paraId="33113F77" w14:textId="77777777" w:rsidR="00BF7032" w:rsidRDefault="00BF7032" w:rsidP="00C642F7"/>
        </w:tc>
        <w:tc>
          <w:tcPr>
            <w:tcW w:w="1503" w:type="dxa"/>
          </w:tcPr>
          <w:p w14:paraId="37BC8495" w14:textId="77777777" w:rsidR="00BF7032" w:rsidRDefault="00BF7032" w:rsidP="00C642F7"/>
        </w:tc>
        <w:tc>
          <w:tcPr>
            <w:tcW w:w="1503" w:type="dxa"/>
          </w:tcPr>
          <w:p w14:paraId="5637257D" w14:textId="77777777" w:rsidR="00BF7032" w:rsidRDefault="00BF7032" w:rsidP="00C642F7"/>
        </w:tc>
        <w:tc>
          <w:tcPr>
            <w:tcW w:w="1503" w:type="dxa"/>
            <w:shd w:val="clear" w:color="auto" w:fill="A6A6A6" w:themeFill="background1" w:themeFillShade="A6"/>
          </w:tcPr>
          <w:p w14:paraId="1CA612B1" w14:textId="77777777" w:rsidR="00BF7032" w:rsidRPr="00AB6B21" w:rsidRDefault="00BF7032" w:rsidP="00C642F7"/>
        </w:tc>
        <w:tc>
          <w:tcPr>
            <w:tcW w:w="1781" w:type="dxa"/>
          </w:tcPr>
          <w:p w14:paraId="2A27C175" w14:textId="77777777" w:rsidR="00BF7032" w:rsidRDefault="00BF7032" w:rsidP="00C642F7"/>
        </w:tc>
        <w:tc>
          <w:tcPr>
            <w:tcW w:w="1275" w:type="dxa"/>
          </w:tcPr>
          <w:p w14:paraId="52355EF9" w14:textId="77777777" w:rsidR="00BF7032" w:rsidRDefault="00BF7032" w:rsidP="00C642F7"/>
        </w:tc>
      </w:tr>
      <w:tr w:rsidR="00BF7032" w14:paraId="728605C1" w14:textId="77777777" w:rsidTr="00072D85">
        <w:tc>
          <w:tcPr>
            <w:tcW w:w="1502" w:type="dxa"/>
          </w:tcPr>
          <w:p w14:paraId="04AED034" w14:textId="77777777" w:rsidR="00BF7032" w:rsidRDefault="00BF7032" w:rsidP="00C642F7">
            <w:r>
              <w:t xml:space="preserve">2020 </w:t>
            </w:r>
          </w:p>
        </w:tc>
        <w:tc>
          <w:tcPr>
            <w:tcW w:w="1503" w:type="dxa"/>
          </w:tcPr>
          <w:p w14:paraId="417620B9" w14:textId="77777777" w:rsidR="00BF7032" w:rsidRDefault="00BF7032" w:rsidP="00C642F7"/>
        </w:tc>
        <w:tc>
          <w:tcPr>
            <w:tcW w:w="1503" w:type="dxa"/>
          </w:tcPr>
          <w:p w14:paraId="6BD23E22" w14:textId="77777777" w:rsidR="00BF7032" w:rsidRDefault="00BF7032" w:rsidP="00C642F7"/>
        </w:tc>
        <w:tc>
          <w:tcPr>
            <w:tcW w:w="1503" w:type="dxa"/>
            <w:shd w:val="clear" w:color="auto" w:fill="A6A6A6" w:themeFill="background1" w:themeFillShade="A6"/>
          </w:tcPr>
          <w:p w14:paraId="7BA691E3" w14:textId="77777777" w:rsidR="00BF7032" w:rsidRPr="00AB6B21" w:rsidRDefault="00BF7032" w:rsidP="00C642F7"/>
        </w:tc>
        <w:tc>
          <w:tcPr>
            <w:tcW w:w="1781" w:type="dxa"/>
          </w:tcPr>
          <w:p w14:paraId="4037B544" w14:textId="77777777" w:rsidR="00BF7032" w:rsidRDefault="00BF7032" w:rsidP="00C642F7"/>
        </w:tc>
        <w:tc>
          <w:tcPr>
            <w:tcW w:w="1275" w:type="dxa"/>
          </w:tcPr>
          <w:p w14:paraId="3431B8A9" w14:textId="77777777" w:rsidR="00BF7032" w:rsidRDefault="00BF7032" w:rsidP="00C642F7"/>
        </w:tc>
      </w:tr>
      <w:tr w:rsidR="00BF7032" w14:paraId="18A68697" w14:textId="77777777" w:rsidTr="00072D85">
        <w:tc>
          <w:tcPr>
            <w:tcW w:w="1502" w:type="dxa"/>
          </w:tcPr>
          <w:p w14:paraId="1A97BF91" w14:textId="77777777" w:rsidR="00BF7032" w:rsidRDefault="00BF7032" w:rsidP="00C642F7">
            <w:r>
              <w:t>All</w:t>
            </w:r>
          </w:p>
        </w:tc>
        <w:tc>
          <w:tcPr>
            <w:tcW w:w="1503" w:type="dxa"/>
          </w:tcPr>
          <w:p w14:paraId="4A9CDA4B" w14:textId="77777777" w:rsidR="00BF7032" w:rsidRDefault="00BF7032" w:rsidP="00C642F7">
            <w:r>
              <w:t>31%</w:t>
            </w:r>
          </w:p>
        </w:tc>
        <w:tc>
          <w:tcPr>
            <w:tcW w:w="1503" w:type="dxa"/>
          </w:tcPr>
          <w:p w14:paraId="7E6F470F" w14:textId="77777777" w:rsidR="00BF7032" w:rsidRDefault="00BF7032" w:rsidP="00C642F7">
            <w:r>
              <w:t>51%</w:t>
            </w:r>
          </w:p>
        </w:tc>
        <w:tc>
          <w:tcPr>
            <w:tcW w:w="1503" w:type="dxa"/>
            <w:shd w:val="clear" w:color="auto" w:fill="A6A6A6" w:themeFill="background1" w:themeFillShade="A6"/>
          </w:tcPr>
          <w:p w14:paraId="0E060629" w14:textId="77777777" w:rsidR="00BF7032" w:rsidRPr="00AB6B21" w:rsidRDefault="00BF7032" w:rsidP="00C642F7">
            <w:r w:rsidRPr="00AB6B21">
              <w:t>81%</w:t>
            </w:r>
          </w:p>
        </w:tc>
        <w:tc>
          <w:tcPr>
            <w:tcW w:w="1781" w:type="dxa"/>
          </w:tcPr>
          <w:p w14:paraId="1827022D" w14:textId="77777777" w:rsidR="00BF7032" w:rsidRDefault="00BF7032" w:rsidP="00C642F7">
            <w:r>
              <w:t>14%</w:t>
            </w:r>
          </w:p>
        </w:tc>
        <w:tc>
          <w:tcPr>
            <w:tcW w:w="1275" w:type="dxa"/>
          </w:tcPr>
          <w:p w14:paraId="2B8B436D" w14:textId="77777777" w:rsidR="00BF7032" w:rsidRDefault="00BF7032" w:rsidP="00C642F7">
            <w:r>
              <w:t>4%</w:t>
            </w:r>
          </w:p>
        </w:tc>
      </w:tr>
      <w:tr w:rsidR="00BF7032" w14:paraId="761428BC" w14:textId="77777777" w:rsidTr="00072D85">
        <w:tc>
          <w:tcPr>
            <w:tcW w:w="1502" w:type="dxa"/>
          </w:tcPr>
          <w:p w14:paraId="4786081A" w14:textId="77777777" w:rsidR="00BF7032" w:rsidRDefault="00BF7032" w:rsidP="00C642F7">
            <w:r>
              <w:t xml:space="preserve">Dyslexic People </w:t>
            </w:r>
          </w:p>
        </w:tc>
        <w:tc>
          <w:tcPr>
            <w:tcW w:w="1503" w:type="dxa"/>
          </w:tcPr>
          <w:p w14:paraId="7BF19E97" w14:textId="403937E7" w:rsidR="00BF7032" w:rsidRPr="00030280" w:rsidRDefault="00BF7032" w:rsidP="00C642F7">
            <w:r w:rsidRPr="00030280">
              <w:t>9</w:t>
            </w:r>
            <w:proofErr w:type="gramStart"/>
            <w:r w:rsidRPr="00030280">
              <w:t>%  (</w:t>
            </w:r>
            <w:proofErr w:type="gramEnd"/>
            <w:r w:rsidRPr="00030280">
              <w:t xml:space="preserve"> +</w:t>
            </w:r>
            <w:r w:rsidR="009E66D8">
              <w:t xml:space="preserve"> </w:t>
            </w:r>
            <w:r w:rsidRPr="00030280">
              <w:t>or- 7%</w:t>
            </w:r>
          </w:p>
        </w:tc>
        <w:tc>
          <w:tcPr>
            <w:tcW w:w="1503" w:type="dxa"/>
          </w:tcPr>
          <w:p w14:paraId="7F5DFC31" w14:textId="77777777" w:rsidR="00BF7032" w:rsidRPr="00030280" w:rsidRDefault="00BF7032" w:rsidP="00C642F7">
            <w:r w:rsidRPr="00030280">
              <w:t xml:space="preserve">51% </w:t>
            </w:r>
          </w:p>
        </w:tc>
        <w:tc>
          <w:tcPr>
            <w:tcW w:w="1503" w:type="dxa"/>
            <w:shd w:val="clear" w:color="auto" w:fill="A6A6A6" w:themeFill="background1" w:themeFillShade="A6"/>
          </w:tcPr>
          <w:p w14:paraId="53A0CF06" w14:textId="77777777" w:rsidR="00BF7032" w:rsidRPr="00030280" w:rsidRDefault="00BF7032" w:rsidP="00C642F7">
            <w:r w:rsidRPr="00030280">
              <w:t>60%</w:t>
            </w:r>
          </w:p>
        </w:tc>
        <w:tc>
          <w:tcPr>
            <w:tcW w:w="1781" w:type="dxa"/>
          </w:tcPr>
          <w:p w14:paraId="5B32F052" w14:textId="77777777" w:rsidR="00BF7032" w:rsidRPr="00030280" w:rsidRDefault="00BF7032" w:rsidP="00C642F7">
            <w:r w:rsidRPr="00030280">
              <w:t>27% (+ or – 8%)</w:t>
            </w:r>
          </w:p>
        </w:tc>
        <w:tc>
          <w:tcPr>
            <w:tcW w:w="1275" w:type="dxa"/>
          </w:tcPr>
          <w:p w14:paraId="4C3A5D25" w14:textId="77777777" w:rsidR="00BF7032" w:rsidRPr="00030280" w:rsidRDefault="00BF7032" w:rsidP="00C642F7">
            <w:r w:rsidRPr="00030280">
              <w:t>13% (+or-15%</w:t>
            </w:r>
          </w:p>
        </w:tc>
      </w:tr>
      <w:tr w:rsidR="00816266" w:rsidRPr="00957012" w14:paraId="1A54BF89" w14:textId="77777777" w:rsidTr="00072D85">
        <w:tc>
          <w:tcPr>
            <w:tcW w:w="1502" w:type="dxa"/>
          </w:tcPr>
          <w:p w14:paraId="7E6B9B65" w14:textId="77777777" w:rsidR="00BF7032" w:rsidRPr="00957012" w:rsidRDefault="00BF7032" w:rsidP="00C642F7">
            <w:pPr>
              <w:rPr>
                <w:b/>
                <w:bCs/>
              </w:rPr>
            </w:pPr>
            <w:r w:rsidRPr="00957012">
              <w:rPr>
                <w:b/>
                <w:bCs/>
              </w:rPr>
              <w:t xml:space="preserve">Non-Dyslexic People </w:t>
            </w:r>
          </w:p>
        </w:tc>
        <w:tc>
          <w:tcPr>
            <w:tcW w:w="1503" w:type="dxa"/>
          </w:tcPr>
          <w:p w14:paraId="01356F80" w14:textId="77777777" w:rsidR="00BF7032" w:rsidRPr="00957012" w:rsidRDefault="00BF7032" w:rsidP="00C642F7">
            <w:pPr>
              <w:rPr>
                <w:b/>
                <w:bCs/>
              </w:rPr>
            </w:pPr>
            <w:r w:rsidRPr="00957012">
              <w:rPr>
                <w:b/>
                <w:bCs/>
              </w:rPr>
              <w:t xml:space="preserve">32% </w:t>
            </w:r>
          </w:p>
        </w:tc>
        <w:tc>
          <w:tcPr>
            <w:tcW w:w="1503" w:type="dxa"/>
          </w:tcPr>
          <w:p w14:paraId="7A033413" w14:textId="77777777" w:rsidR="00BF7032" w:rsidRPr="00957012" w:rsidRDefault="00BF7032" w:rsidP="00C642F7">
            <w:pPr>
              <w:rPr>
                <w:b/>
                <w:bCs/>
              </w:rPr>
            </w:pPr>
            <w:r w:rsidRPr="00957012">
              <w:rPr>
                <w:b/>
                <w:bCs/>
              </w:rPr>
              <w:t>51%</w:t>
            </w:r>
          </w:p>
        </w:tc>
        <w:tc>
          <w:tcPr>
            <w:tcW w:w="1503" w:type="dxa"/>
            <w:shd w:val="clear" w:color="auto" w:fill="A6A6A6" w:themeFill="background1" w:themeFillShade="A6"/>
          </w:tcPr>
          <w:p w14:paraId="67F1AE0B" w14:textId="77777777" w:rsidR="00BF7032" w:rsidRPr="00957012" w:rsidRDefault="00BF7032" w:rsidP="00C642F7">
            <w:pPr>
              <w:rPr>
                <w:b/>
                <w:bCs/>
              </w:rPr>
            </w:pPr>
            <w:r w:rsidRPr="00957012">
              <w:rPr>
                <w:b/>
                <w:bCs/>
              </w:rPr>
              <w:t>83%</w:t>
            </w:r>
          </w:p>
        </w:tc>
        <w:tc>
          <w:tcPr>
            <w:tcW w:w="1781" w:type="dxa"/>
          </w:tcPr>
          <w:p w14:paraId="3DAECC04" w14:textId="77777777" w:rsidR="00BF7032" w:rsidRPr="00957012" w:rsidRDefault="00BF7032" w:rsidP="00C642F7">
            <w:pPr>
              <w:rPr>
                <w:b/>
                <w:bCs/>
              </w:rPr>
            </w:pPr>
            <w:r w:rsidRPr="00957012">
              <w:rPr>
                <w:b/>
                <w:bCs/>
              </w:rPr>
              <w:t>13%</w:t>
            </w:r>
          </w:p>
        </w:tc>
        <w:tc>
          <w:tcPr>
            <w:tcW w:w="1275" w:type="dxa"/>
          </w:tcPr>
          <w:p w14:paraId="75D57E21" w14:textId="77777777" w:rsidR="00BF7032" w:rsidRPr="00957012" w:rsidRDefault="00BF7032" w:rsidP="00C642F7">
            <w:pPr>
              <w:rPr>
                <w:b/>
                <w:bCs/>
              </w:rPr>
            </w:pPr>
            <w:r w:rsidRPr="00957012">
              <w:rPr>
                <w:b/>
                <w:bCs/>
              </w:rPr>
              <w:t>3%</w:t>
            </w:r>
          </w:p>
        </w:tc>
      </w:tr>
    </w:tbl>
    <w:p w14:paraId="4044B4E0" w14:textId="4D3F8138" w:rsidR="00BF7032" w:rsidRPr="00957012" w:rsidRDefault="00BF7032" w:rsidP="00BF7032">
      <w:pPr>
        <w:jc w:val="right"/>
        <w:rPr>
          <w:bCs/>
        </w:rPr>
      </w:pPr>
      <w:r w:rsidRPr="00957012">
        <w:t>The Model Combines data from</w:t>
      </w:r>
      <w:r w:rsidRPr="00957012">
        <w:rPr>
          <w:b/>
        </w:rPr>
        <w:t xml:space="preserve"> </w:t>
      </w:r>
      <w:sdt>
        <w:sdtPr>
          <w:rPr>
            <w:b/>
          </w:rPr>
          <w:id w:val="-2087448868"/>
          <w:citation/>
        </w:sdtPr>
        <w:sdtEndPr/>
        <w:sdtContent>
          <w:r w:rsidR="00030280">
            <w:rPr>
              <w:b/>
            </w:rPr>
            <w:fldChar w:fldCharType="begin"/>
          </w:r>
          <w:r w:rsidR="00030280">
            <w:rPr>
              <w:b/>
            </w:rPr>
            <w:instrText xml:space="preserve">CITATION Log01 \l 2057 </w:instrText>
          </w:r>
          <w:r w:rsidR="00030280">
            <w:rPr>
              <w:b/>
            </w:rPr>
            <w:fldChar w:fldCharType="separate"/>
          </w:r>
          <w:r w:rsidR="00FF6A5B">
            <w:rPr>
              <w:noProof/>
            </w:rPr>
            <w:t>(Logan, 2001)</w:t>
          </w:r>
          <w:r w:rsidR="00030280">
            <w:rPr>
              <w:b/>
            </w:rPr>
            <w:fldChar w:fldCharType="end"/>
          </w:r>
        </w:sdtContent>
      </w:sdt>
      <w:r w:rsidR="00957012">
        <w:rPr>
          <w:rStyle w:val="EndnoteReference"/>
          <w:b/>
        </w:rPr>
        <w:t xml:space="preserve"> </w:t>
      </w:r>
      <w:sdt>
        <w:sdtPr>
          <w:rPr>
            <w:rStyle w:val="EndnoteReference"/>
            <w:b/>
          </w:rPr>
          <w:id w:val="-178813948"/>
          <w:citation/>
        </w:sdtPr>
        <w:sdtEndPr>
          <w:rPr>
            <w:rStyle w:val="EndnoteReference"/>
          </w:rPr>
        </w:sdtEndPr>
        <w:sdtContent>
          <w:r w:rsidR="00957012">
            <w:rPr>
              <w:rStyle w:val="EndnoteReference"/>
              <w:b/>
            </w:rPr>
            <w:fldChar w:fldCharType="begin"/>
          </w:r>
          <w:r w:rsidR="00957012">
            <w:rPr>
              <w:b/>
            </w:rPr>
            <w:instrText xml:space="preserve"> CITATION ONS17 \l 2057 </w:instrText>
          </w:r>
          <w:r w:rsidR="00957012">
            <w:rPr>
              <w:rStyle w:val="EndnoteReference"/>
              <w:b/>
            </w:rPr>
            <w:fldChar w:fldCharType="separate"/>
          </w:r>
          <w:r w:rsidR="00FF6A5B">
            <w:rPr>
              <w:noProof/>
            </w:rPr>
            <w:t>(Office for National Statistics, 2017b)</w:t>
          </w:r>
          <w:r w:rsidR="00957012">
            <w:rPr>
              <w:rStyle w:val="EndnoteReference"/>
              <w:b/>
            </w:rPr>
            <w:fldChar w:fldCharType="end"/>
          </w:r>
        </w:sdtContent>
      </w:sdt>
      <w:r w:rsidR="00957012">
        <w:rPr>
          <w:b/>
        </w:rPr>
        <w:t xml:space="preserve"> </w:t>
      </w:r>
      <w:sdt>
        <w:sdtPr>
          <w:rPr>
            <w:b/>
          </w:rPr>
          <w:id w:val="1098448585"/>
          <w:citation/>
        </w:sdtPr>
        <w:sdtEndPr/>
        <w:sdtContent>
          <w:r w:rsidR="00957012">
            <w:rPr>
              <w:b/>
            </w:rPr>
            <w:fldChar w:fldCharType="begin"/>
          </w:r>
          <w:r w:rsidR="00957012">
            <w:rPr>
              <w:bCs/>
            </w:rPr>
            <w:instrText xml:space="preserve"> CITATION Off21 \l 2057 </w:instrText>
          </w:r>
          <w:r w:rsidR="00957012">
            <w:rPr>
              <w:b/>
            </w:rPr>
            <w:fldChar w:fldCharType="separate"/>
          </w:r>
          <w:r w:rsidR="00FF6A5B">
            <w:rPr>
              <w:noProof/>
            </w:rPr>
            <w:t>(Office for National Statistics , 2021)</w:t>
          </w:r>
          <w:r w:rsidR="00957012">
            <w:rPr>
              <w:b/>
            </w:rPr>
            <w:fldChar w:fldCharType="end"/>
          </w:r>
        </w:sdtContent>
      </w:sdt>
    </w:p>
    <w:p w14:paraId="26DBC181" w14:textId="77777777" w:rsidR="00BF7032" w:rsidRDefault="00BF7032" w:rsidP="00BF7032">
      <w:r>
        <w:t xml:space="preserve">The model suggests that the differences between the modes of employment experienced by dyslexic and non-dyslexic people have widened.  In 1970 79% of dyslexic people and 89% of non-dyslexic people were employed in PAYE jobs, by 2020 this figure had fallen to 60% for dyslexic people and 83% for non-dyslexic people. </w:t>
      </w:r>
    </w:p>
    <w:p w14:paraId="579B3A51" w14:textId="5D736310" w:rsidR="00BF7032" w:rsidRDefault="00BF7032" w:rsidP="00BF7032">
      <w:r>
        <w:t xml:space="preserve">The percentage of dyslexic people who are </w:t>
      </w:r>
      <w:r w:rsidR="00816266">
        <w:t>self-employed</w:t>
      </w:r>
      <w:r>
        <w:t xml:space="preserve"> had risen from 15% to 27%.</w:t>
      </w:r>
    </w:p>
    <w:p w14:paraId="79192810" w14:textId="2B7FB77D" w:rsidR="00BF7032" w:rsidRDefault="00BF7032" w:rsidP="00BF7032">
      <w:r>
        <w:t xml:space="preserve">In 1970 a dyslexic person had less than twice the average probability of being unemployed. A Dyslexic person is now more than four times more likely to be unemployed than a non dyslexic person.  </w:t>
      </w:r>
    </w:p>
    <w:p w14:paraId="5522EA91" w14:textId="19C8A46E" w:rsidR="00BF7032" w:rsidRDefault="00BF7032" w:rsidP="005B395B">
      <w:pPr>
        <w:pStyle w:val="Heading1"/>
        <w:numPr>
          <w:ilvl w:val="0"/>
          <w:numId w:val="6"/>
        </w:numPr>
      </w:pPr>
      <w:r w:rsidRPr="00816266">
        <w:lastRenderedPageBreak/>
        <w:t xml:space="preserve">Implications and conclusions </w:t>
      </w:r>
    </w:p>
    <w:p w14:paraId="15817F5E" w14:textId="77777777" w:rsidR="00F66A4E" w:rsidRPr="00F66A4E" w:rsidRDefault="00F66A4E" w:rsidP="00F66A4E">
      <w:pPr>
        <w:rPr>
          <w:lang w:val="en-US"/>
        </w:rPr>
      </w:pPr>
    </w:p>
    <w:p w14:paraId="378DA726" w14:textId="1FB72946" w:rsidR="00BF7032" w:rsidRPr="00816266" w:rsidRDefault="00BF7032" w:rsidP="00BF7032">
      <w:r w:rsidRPr="00816266">
        <w:t xml:space="preserve">In this section, I explore the implications of the trends in each category of employment for dyslexic </w:t>
      </w:r>
      <w:r w:rsidR="00B803A9">
        <w:t xml:space="preserve">and neurodivergent </w:t>
      </w:r>
      <w:r w:rsidRPr="00816266">
        <w:t xml:space="preserve">people. </w:t>
      </w:r>
    </w:p>
    <w:p w14:paraId="50523AEA" w14:textId="77777777" w:rsidR="00BF7032" w:rsidRDefault="00BF7032" w:rsidP="005B395B">
      <w:pPr>
        <w:pStyle w:val="Heading2"/>
        <w:rPr>
          <w:rStyle w:val="Heading2Char"/>
        </w:rPr>
      </w:pPr>
      <w:r w:rsidRPr="00816266">
        <w:rPr>
          <w:b/>
        </w:rPr>
        <w:t xml:space="preserve">4.1 </w:t>
      </w:r>
      <w:r w:rsidRPr="005B395B">
        <w:rPr>
          <w:rStyle w:val="Heading2Char"/>
        </w:rPr>
        <w:t>- Managerial Professional and Scientific Jobs / Graduate Jobs</w:t>
      </w:r>
    </w:p>
    <w:p w14:paraId="107AC5AB" w14:textId="77777777" w:rsidR="005B395B" w:rsidRPr="005B395B" w:rsidRDefault="005B395B" w:rsidP="005B395B"/>
    <w:p w14:paraId="7DAB023D" w14:textId="549652FD" w:rsidR="00BF7032" w:rsidRPr="00816266" w:rsidRDefault="00BF7032" w:rsidP="00BF7032">
      <w:r w:rsidRPr="00816266">
        <w:t xml:space="preserve">According to the House of Commons Library 6% of all Higher Education students have </w:t>
      </w:r>
      <w:r w:rsidR="00816266" w:rsidRPr="00816266">
        <w:t xml:space="preserve">a </w:t>
      </w:r>
      <w:r w:rsidRPr="00816266">
        <w:t>specific learning difficult</w:t>
      </w:r>
      <w:r w:rsidR="00816266" w:rsidRPr="00816266">
        <w:t xml:space="preserve">y (most often dyslexia) </w:t>
      </w:r>
      <w:r w:rsidRPr="00816266">
        <w:t xml:space="preserve"> </w:t>
      </w:r>
      <w:sdt>
        <w:sdtPr>
          <w:id w:val="970333191"/>
          <w:citation/>
        </w:sdtPr>
        <w:sdtEndPr/>
        <w:sdtContent>
          <w:r w:rsidRPr="00816266">
            <w:fldChar w:fldCharType="begin"/>
          </w:r>
          <w:r w:rsidR="00816266" w:rsidRPr="00816266">
            <w:instrText xml:space="preserve">CITATION Hou21 \l 2057 </w:instrText>
          </w:r>
          <w:r w:rsidRPr="00816266">
            <w:fldChar w:fldCharType="separate"/>
          </w:r>
          <w:r w:rsidR="00FF6A5B">
            <w:rPr>
              <w:noProof/>
            </w:rPr>
            <w:t>(House of Commons, 2021)</w:t>
          </w:r>
          <w:r w:rsidRPr="00816266">
            <w:fldChar w:fldCharType="end"/>
          </w:r>
        </w:sdtContent>
      </w:sdt>
      <w:r w:rsidRPr="00816266">
        <w:t xml:space="preserve">  This means possibly 30% of all dyslexic people are now going to university. </w:t>
      </w:r>
      <w:r w:rsidR="00897DD6">
        <w:t xml:space="preserve">(Given that the vast majority of dyslexic people are not </w:t>
      </w:r>
      <w:r w:rsidR="00C75DA5">
        <w:t>assessed at school the percentage of dyslexic people progressi</w:t>
      </w:r>
      <w:r w:rsidR="00076F06">
        <w:t xml:space="preserve">ng to university may even be higher than this figure see </w:t>
      </w:r>
      <w:hyperlink r:id="rId14" w:history="1">
        <w:proofErr w:type="spellStart"/>
        <w:r w:rsidR="00076F06" w:rsidRPr="00CD5C46">
          <w:rPr>
            <w:rStyle w:val="Hyperlink"/>
          </w:rPr>
          <w:t>NDnomics</w:t>
        </w:r>
        <w:proofErr w:type="spellEnd"/>
        <w:r w:rsidR="00076F06" w:rsidRPr="00CD5C46">
          <w:rPr>
            <w:rStyle w:val="Hyperlink"/>
          </w:rPr>
          <w:t xml:space="preserve"> </w:t>
        </w:r>
        <w:r w:rsidR="00E62466" w:rsidRPr="00CD5C46">
          <w:rPr>
            <w:rStyle w:val="Hyperlink"/>
          </w:rPr>
          <w:t>8 :Data</w:t>
        </w:r>
      </w:hyperlink>
      <w:r w:rsidR="00E62466">
        <w:t xml:space="preserve">) </w:t>
      </w:r>
      <w:r w:rsidRPr="00816266">
        <w:t xml:space="preserve">The House of Commons report goes on to show graduates with disabilities including dyslexia are nearly as likely to be employed as the average graduate. </w:t>
      </w:r>
    </w:p>
    <w:p w14:paraId="2481D932" w14:textId="66DC9ACB" w:rsidR="00BF7032" w:rsidRPr="00816266" w:rsidRDefault="00BF7032" w:rsidP="00BF7032">
      <w:r w:rsidRPr="00816266">
        <w:t>Overall, 7</w:t>
      </w:r>
      <w:r w:rsidR="00816266">
        <w:t>4</w:t>
      </w:r>
      <w:r w:rsidRPr="00816266">
        <w:t xml:space="preserve">% of graduates enter Managerial and Professional occupations </w:t>
      </w:r>
      <w:sdt>
        <w:sdtPr>
          <w:id w:val="1935081006"/>
          <w:citation/>
        </w:sdtPr>
        <w:sdtEndPr/>
        <w:sdtContent>
          <w:r w:rsidRPr="00816266">
            <w:fldChar w:fldCharType="begin"/>
          </w:r>
          <w:r w:rsidR="00816266">
            <w:instrText xml:space="preserve">CITATION Mar21 \l 2057 </w:instrText>
          </w:r>
          <w:r w:rsidRPr="00816266">
            <w:fldChar w:fldCharType="separate"/>
          </w:r>
          <w:r w:rsidR="00FF6A5B">
            <w:rPr>
              <w:noProof/>
            </w:rPr>
            <w:t>(Markinstyle, 2021)</w:t>
          </w:r>
          <w:r w:rsidRPr="00816266">
            <w:fldChar w:fldCharType="end"/>
          </w:r>
        </w:sdtContent>
      </w:sdt>
      <w:r w:rsidRPr="00816266">
        <w:t xml:space="preserve">  However, Professor Logan’s research suggests dyslexic people including graduates are one third as likely to work in these occupations than non-dyslexic people. Dyslexic graduates while still being employed therefore appear to be more likely than non-dyslexic graduates to be employed in less secure occupations, to freelance or establish their own businesses.  </w:t>
      </w:r>
    </w:p>
    <w:p w14:paraId="24761088" w14:textId="69F484B1" w:rsidR="00BF7032" w:rsidRPr="00816266" w:rsidRDefault="00BF7032" w:rsidP="00BF7032">
      <w:r w:rsidRPr="00816266">
        <w:t xml:space="preserve">This finding is reinforced by evidence in Creative Graduate’s Creative Futures, which suggests that in the creative sector at least, dyslexic graduates are </w:t>
      </w:r>
      <w:proofErr w:type="gramStart"/>
      <w:r w:rsidRPr="00816266">
        <w:t>as  likely</w:t>
      </w:r>
      <w:proofErr w:type="gramEnd"/>
      <w:r w:rsidRPr="00816266">
        <w:t xml:space="preserve"> to be employed doing professional activity  in the sector as non dyslexic graduates, but the mode of employment is more likely to be in temporary, self-employed or portfolio roles.  </w:t>
      </w:r>
      <w:sdt>
        <w:sdtPr>
          <w:id w:val="-1848630009"/>
          <w:citation/>
        </w:sdtPr>
        <w:sdtEndPr/>
        <w:sdtContent>
          <w:r w:rsidRPr="00816266">
            <w:fldChar w:fldCharType="begin"/>
          </w:r>
          <w:r w:rsidR="00816266">
            <w:instrText xml:space="preserve">CITATION Ins09 \l 2057 </w:instrText>
          </w:r>
          <w:r w:rsidRPr="00816266">
            <w:fldChar w:fldCharType="separate"/>
          </w:r>
          <w:r w:rsidR="00FF6A5B">
            <w:rPr>
              <w:noProof/>
            </w:rPr>
            <w:t>(Institute of Employment Studies, 2009)</w:t>
          </w:r>
          <w:r w:rsidRPr="00816266">
            <w:fldChar w:fldCharType="end"/>
          </w:r>
        </w:sdtContent>
      </w:sdt>
    </w:p>
    <w:p w14:paraId="6065022D" w14:textId="2DB7B449" w:rsidR="00BF7032" w:rsidRPr="00816266" w:rsidRDefault="00BF7032" w:rsidP="00BF7032">
      <w:r w:rsidRPr="00816266">
        <w:t>The Employment disadvantage for dyslexic graduates therefore appears to be mostly experienced in the form of less secure</w:t>
      </w:r>
      <w:r w:rsidR="00282A61">
        <w:t xml:space="preserve">, lower </w:t>
      </w:r>
      <w:proofErr w:type="gramStart"/>
      <w:r w:rsidR="00282A61">
        <w:t xml:space="preserve">paid </w:t>
      </w:r>
      <w:r w:rsidRPr="00816266">
        <w:t xml:space="preserve"> employment</w:t>
      </w:r>
      <w:proofErr w:type="gramEnd"/>
      <w:r w:rsidRPr="00816266">
        <w:t xml:space="preserve"> rather than unemployment. It is important to note </w:t>
      </w:r>
      <w:r w:rsidR="00816266" w:rsidRPr="00816266">
        <w:t>that Dyslexic</w:t>
      </w:r>
      <w:r w:rsidRPr="00816266">
        <w:t xml:space="preserve"> graduate appear to be</w:t>
      </w:r>
      <w:r w:rsidR="00695FA0" w:rsidRPr="00816266">
        <w:t xml:space="preserve"> </w:t>
      </w:r>
      <w:r w:rsidR="00816266" w:rsidRPr="00816266">
        <w:t>significantly more</w:t>
      </w:r>
      <w:r w:rsidRPr="00816266">
        <w:t xml:space="preserve"> likely to be employed than dyslexic non-graduates. </w:t>
      </w:r>
      <w:r w:rsidR="00816266">
        <w:t xml:space="preserve">It could therefore be argued higher education is disproportionately valuable to dyslexic people. </w:t>
      </w:r>
    </w:p>
    <w:p w14:paraId="1E117136" w14:textId="77777777" w:rsidR="00BF7032" w:rsidRDefault="00BF7032" w:rsidP="00BF7032">
      <w:pPr>
        <w:rPr>
          <w:b/>
          <w:bCs/>
        </w:rPr>
      </w:pPr>
      <w:r>
        <w:rPr>
          <w:b/>
          <w:bCs/>
        </w:rPr>
        <w:t xml:space="preserve">Table 6 - Differences in the current activities of Creative Graduates </w:t>
      </w:r>
    </w:p>
    <w:p w14:paraId="1E30D792" w14:textId="77777777" w:rsidR="00BF7032" w:rsidRDefault="00BF7032" w:rsidP="00BF7032">
      <w:r>
        <w:rPr>
          <w:noProof/>
        </w:rPr>
        <w:drawing>
          <wp:inline distT="0" distB="0" distL="0" distR="0" wp14:anchorId="68A23D7D" wp14:editId="331DCD03">
            <wp:extent cx="5871210" cy="2725420"/>
            <wp:effectExtent l="0" t="0" r="0" b="0"/>
            <wp:docPr id="3" name="Picture 3"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bar chart&#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71210" cy="2725420"/>
                    </a:xfrm>
                    <a:prstGeom prst="rect">
                      <a:avLst/>
                    </a:prstGeom>
                    <a:noFill/>
                  </pic:spPr>
                </pic:pic>
              </a:graphicData>
            </a:graphic>
          </wp:inline>
        </w:drawing>
      </w:r>
    </w:p>
    <w:p w14:paraId="52CAC34C" w14:textId="77777777" w:rsidR="00BF7032" w:rsidRDefault="00BF7032" w:rsidP="00BF7032">
      <w:pPr>
        <w:jc w:val="right"/>
        <w:rPr>
          <w:b/>
        </w:rPr>
      </w:pPr>
      <w:r>
        <w:lastRenderedPageBreak/>
        <w:tab/>
      </w:r>
      <w:r>
        <w:tab/>
      </w:r>
      <w:r>
        <w:tab/>
      </w:r>
      <w:r>
        <w:rPr>
          <w:b/>
        </w:rPr>
        <w:t>Source: Creative Graduates Creative Futures Institute of Employment 2009</w:t>
      </w:r>
    </w:p>
    <w:p w14:paraId="1E5AF185" w14:textId="2B1C785E" w:rsidR="00694CB9" w:rsidRPr="00694CB9" w:rsidRDefault="00694CB9" w:rsidP="00BF7032">
      <w:pPr>
        <w:rPr>
          <w:b/>
          <w:bCs/>
        </w:rPr>
      </w:pPr>
      <w:r w:rsidRPr="00694CB9">
        <w:rPr>
          <w:b/>
          <w:bCs/>
        </w:rPr>
        <w:t xml:space="preserve">Conclusion </w:t>
      </w:r>
    </w:p>
    <w:p w14:paraId="47B30A7C" w14:textId="2289DFC9" w:rsidR="00BF7032" w:rsidRDefault="00BF7032" w:rsidP="00BF7032">
      <w:r>
        <w:t xml:space="preserve">Dyslexic graduates and professionals cannot rely on a supportive employer to nurture their talent. They need to be entrepreneurial in seeking employed or self-employed opportunities. They also need to take direct responsibility for the development of their own human capital. </w:t>
      </w:r>
    </w:p>
    <w:p w14:paraId="3AA602A6" w14:textId="4F659637" w:rsidR="00BF7032" w:rsidRDefault="00BF7032" w:rsidP="00BF7032">
      <w:r>
        <w:t xml:space="preserve">Professional careers provide many graduates from disadvantaged backgrounds with a vehicle to achieve social mobility. The under representation of dyslexic people in these occupations makes it harder for dyslexic people to </w:t>
      </w:r>
      <w:r w:rsidR="00695FA0">
        <w:t xml:space="preserve">be socially mobile. </w:t>
      </w:r>
      <w:r>
        <w:t xml:space="preserve"> </w:t>
      </w:r>
    </w:p>
    <w:p w14:paraId="475DF0C3" w14:textId="77777777" w:rsidR="001454AE" w:rsidRDefault="001454AE" w:rsidP="00BF7032">
      <w:pPr>
        <w:rPr>
          <w:b/>
        </w:rPr>
      </w:pPr>
    </w:p>
    <w:p w14:paraId="2ABC6281" w14:textId="77777777" w:rsidR="001454AE" w:rsidRDefault="001454AE" w:rsidP="00BF7032">
      <w:pPr>
        <w:rPr>
          <w:b/>
        </w:rPr>
      </w:pPr>
    </w:p>
    <w:p w14:paraId="0DC07EB6" w14:textId="79EA4094" w:rsidR="00BF7032" w:rsidRDefault="00BF7032" w:rsidP="000D05C4">
      <w:pPr>
        <w:pStyle w:val="Heading2"/>
      </w:pPr>
      <w:r>
        <w:t>4.2 - Non-Professional Employment</w:t>
      </w:r>
    </w:p>
    <w:p w14:paraId="43C7B5FF" w14:textId="77777777" w:rsidR="000D05C4" w:rsidRPr="000D05C4" w:rsidRDefault="000D05C4" w:rsidP="000D05C4"/>
    <w:p w14:paraId="2CC9CEE1" w14:textId="4478B693" w:rsidR="00BF7032" w:rsidRDefault="00BF7032" w:rsidP="00BF7032">
      <w:r>
        <w:rPr>
          <w:bCs/>
        </w:rPr>
        <w:t xml:space="preserve">According to the model in 2020 51% of dyslexic people are employed in non-professional jobs. The Government's Commission on Employment and Skills, </w:t>
      </w:r>
      <w:r>
        <w:t xml:space="preserve">future of work report notes that non-professional employment is becoming less plentiful and less secure. </w:t>
      </w:r>
      <w:sdt>
        <w:sdtPr>
          <w:id w:val="-2042043525"/>
          <w:citation/>
        </w:sdtPr>
        <w:sdtEndPr/>
        <w:sdtContent>
          <w:r>
            <w:fldChar w:fldCharType="begin"/>
          </w:r>
          <w:r w:rsidR="00816266">
            <w:instrText xml:space="preserve">CITATION Gov14 \l 2057 </w:instrText>
          </w:r>
          <w:r>
            <w:fldChar w:fldCharType="separate"/>
          </w:r>
          <w:r w:rsidR="00FF6A5B">
            <w:rPr>
              <w:noProof/>
            </w:rPr>
            <w:t>(UK Commission for Employment and Skills, 2014)</w:t>
          </w:r>
          <w:r>
            <w:fldChar w:fldCharType="end"/>
          </w:r>
        </w:sdtContent>
      </w:sdt>
    </w:p>
    <w:p w14:paraId="0035A625" w14:textId="5C5A016C" w:rsidR="00563C08" w:rsidRPr="00563C08" w:rsidRDefault="00563C08" w:rsidP="00BF7032">
      <w:pPr>
        <w:rPr>
          <w:b/>
          <w:bCs/>
        </w:rPr>
      </w:pPr>
      <w:r w:rsidRPr="00563C08">
        <w:rPr>
          <w:b/>
          <w:bCs/>
        </w:rPr>
        <w:t xml:space="preserve">Conclusion </w:t>
      </w:r>
    </w:p>
    <w:p w14:paraId="55126182" w14:textId="635698FF" w:rsidR="00BF7032" w:rsidRDefault="00BF7032" w:rsidP="00BF7032">
      <w:r>
        <w:t xml:space="preserve">Support mechanisms such as access to work need to respond to this reduction in secure employment. Instead of helping employers to make reasonable adjustment, it would be more efficient to equip dyslexic people, to move with minimum friction between roles. This could be achieved by providing the individual not the employer with assistive technology and agreeing support such as job coaching directly with the individual. Agreed adjustments could be listed in a personalised support passport </w:t>
      </w:r>
      <w:sdt>
        <w:sdtPr>
          <w:id w:val="645090110"/>
          <w:citation/>
        </w:sdtPr>
        <w:sdtEndPr/>
        <w:sdtContent>
          <w:r>
            <w:fldChar w:fldCharType="begin"/>
          </w:r>
          <w:r>
            <w:instrText xml:space="preserve"> CITATION GMB19 \l 2057 </w:instrText>
          </w:r>
          <w:r>
            <w:fldChar w:fldCharType="separate"/>
          </w:r>
          <w:r w:rsidR="00FF6A5B">
            <w:rPr>
              <w:noProof/>
            </w:rPr>
            <w:t>(GMB, 2019)</w:t>
          </w:r>
          <w:r>
            <w:fldChar w:fldCharType="end"/>
          </w:r>
        </w:sdtContent>
      </w:sdt>
      <w:r>
        <w:t xml:space="preserve"> </w:t>
      </w:r>
    </w:p>
    <w:p w14:paraId="3D3394EA" w14:textId="77777777" w:rsidR="00BF7032" w:rsidRDefault="00BF7032" w:rsidP="000D05C4">
      <w:pPr>
        <w:pStyle w:val="Heading2"/>
      </w:pPr>
      <w:r>
        <w:t>4.3 - Self Employment</w:t>
      </w:r>
    </w:p>
    <w:p w14:paraId="13A801D3" w14:textId="77777777" w:rsidR="000D05C4" w:rsidRPr="000D05C4" w:rsidRDefault="000D05C4" w:rsidP="000D05C4"/>
    <w:p w14:paraId="7EE4A2EE" w14:textId="3CF0CF61" w:rsidR="00BF7032" w:rsidRDefault="00BF7032" w:rsidP="00BF7032">
      <w:r>
        <w:rPr>
          <w:bCs/>
        </w:rPr>
        <w:t>The model suggests 27</w:t>
      </w:r>
      <w:r>
        <w:t>% of dyslexic people are self-employed, this compares with 13% of non-Dyslexic People.  The incidence of self-employment differs with gender and age.</w:t>
      </w:r>
      <w:r w:rsidR="00816266" w:rsidRPr="00816266">
        <w:t xml:space="preserve"> </w:t>
      </w:r>
      <w:sdt>
        <w:sdtPr>
          <w:id w:val="-519393044"/>
          <w:citation/>
        </w:sdtPr>
        <w:sdtEndPr/>
        <w:sdtContent>
          <w:r w:rsidR="00816266">
            <w:fldChar w:fldCharType="begin"/>
          </w:r>
          <w:r w:rsidR="00816266">
            <w:instrText xml:space="preserve">CITATION Gos211 \l 2057 </w:instrText>
          </w:r>
          <w:r w:rsidR="00816266">
            <w:fldChar w:fldCharType="separate"/>
          </w:r>
          <w:r w:rsidR="00FF6A5B">
            <w:rPr>
              <w:noProof/>
            </w:rPr>
            <w:t>(Gosimpletax, Self Employment Statistics, 2021)</w:t>
          </w:r>
          <w:r w:rsidR="00816266">
            <w:fldChar w:fldCharType="end"/>
          </w:r>
        </w:sdtContent>
      </w:sdt>
      <w:r>
        <w:t xml:space="preserve"> Twice as many men as women are self-employed</w:t>
      </w:r>
      <w:r w:rsidR="00816266">
        <w:t xml:space="preserve">. </w:t>
      </w:r>
      <w:r>
        <w:t xml:space="preserve"> The percentage of people who are self-employed rises significantly among the over 55s</w:t>
      </w:r>
      <w:r w:rsidRPr="00303CF7">
        <w:t xml:space="preserve">. In the overall population 52% of self-employed people are graduates. It is likely that Dyslexic Graduates are particularly likely to become </w:t>
      </w:r>
      <w:r w:rsidR="00816266" w:rsidRPr="00303CF7">
        <w:t>self-employed</w:t>
      </w:r>
      <w:r w:rsidRPr="00303CF7">
        <w:t xml:space="preserve"> or freelance once their career has become established.</w:t>
      </w:r>
      <w:r>
        <w:t xml:space="preserve"> </w:t>
      </w:r>
    </w:p>
    <w:p w14:paraId="2E327FF3" w14:textId="049181FC" w:rsidR="00D07FF8" w:rsidRPr="00D07FF8" w:rsidRDefault="00D07FF8" w:rsidP="00BF7032">
      <w:pPr>
        <w:rPr>
          <w:b/>
          <w:bCs/>
        </w:rPr>
      </w:pPr>
      <w:r w:rsidRPr="00D07FF8">
        <w:rPr>
          <w:b/>
          <w:bCs/>
        </w:rPr>
        <w:t>Conclusion</w:t>
      </w:r>
    </w:p>
    <w:p w14:paraId="244B8112" w14:textId="41D5D5BA" w:rsidR="00BF7032" w:rsidRDefault="00BF7032" w:rsidP="00BF7032">
      <w:r>
        <w:t xml:space="preserve">Entrepreneurship skills are a core element of a dyslexic </w:t>
      </w:r>
      <w:r w:rsidR="002D4646">
        <w:t xml:space="preserve">(or ND) </w:t>
      </w:r>
      <w:r>
        <w:t xml:space="preserve">person’s survival toolkit. These skills need to be developed both in education and in the community.  Self-Employed people are less well paid than people in employment but can achieve greater job satisfaction and flexibility. </w:t>
      </w:r>
      <w:sdt>
        <w:sdtPr>
          <w:id w:val="-810947196"/>
          <w:citation/>
        </w:sdtPr>
        <w:sdtEndPr/>
        <w:sdtContent>
          <w:r>
            <w:fldChar w:fldCharType="begin"/>
          </w:r>
          <w:r w:rsidR="00816266">
            <w:instrText xml:space="preserve">CITATION Gos1b \l 2057 </w:instrText>
          </w:r>
          <w:r>
            <w:fldChar w:fldCharType="separate"/>
          </w:r>
          <w:r w:rsidR="00FF6A5B">
            <w:rPr>
              <w:noProof/>
            </w:rPr>
            <w:t>(Gosimpletax, Self Employment Statistics, 2021b)</w:t>
          </w:r>
          <w:r>
            <w:fldChar w:fldCharType="end"/>
          </w:r>
        </w:sdtContent>
      </w:sdt>
      <w:r>
        <w:t xml:space="preserve">  This flexibility is crucial for dyslexic people seeking to shape a work environment to fit their spiky profile </w:t>
      </w:r>
      <w:sdt>
        <w:sdtPr>
          <w:id w:val="1851828205"/>
          <w:citation/>
        </w:sdtPr>
        <w:sdtEndPr/>
        <w:sdtContent>
          <w:r>
            <w:fldChar w:fldCharType="begin"/>
          </w:r>
          <w:r w:rsidR="00816266">
            <w:instrText xml:space="preserve">CITATION Gen \l 2057 </w:instrText>
          </w:r>
          <w:r>
            <w:fldChar w:fldCharType="separate"/>
          </w:r>
          <w:r w:rsidR="00FF6A5B">
            <w:rPr>
              <w:noProof/>
            </w:rPr>
            <w:t>(Genius Within, 2021)</w:t>
          </w:r>
          <w:r>
            <w:fldChar w:fldCharType="end"/>
          </w:r>
        </w:sdtContent>
      </w:sdt>
    </w:p>
    <w:p w14:paraId="7FA345B5" w14:textId="27ADAEF0" w:rsidR="00BF7032" w:rsidRDefault="00BF7032" w:rsidP="00BF7032">
      <w:r>
        <w:t xml:space="preserve">The choice to become self-employed is much easier if you are financially secure and have a </w:t>
      </w:r>
      <w:r w:rsidR="00303CF7">
        <w:t>recognised skill</w:t>
      </w:r>
      <w:r>
        <w:t xml:space="preserve">.  It is more difficult for younger dyslexic people or dyslexic people who do not own </w:t>
      </w:r>
      <w:r>
        <w:lastRenderedPageBreak/>
        <w:t xml:space="preserve">assets such as a house, car, or laptop, or for dyslexic people without qualifications, to follow this path.   </w:t>
      </w:r>
    </w:p>
    <w:p w14:paraId="35B63D78" w14:textId="26F5B396" w:rsidR="00BF7032" w:rsidRDefault="00BF7032" w:rsidP="000D05C4">
      <w:pPr>
        <w:pStyle w:val="Heading2"/>
      </w:pPr>
      <w:r>
        <w:t xml:space="preserve">4.4 </w:t>
      </w:r>
      <w:r w:rsidR="000D05C4">
        <w:t>–</w:t>
      </w:r>
      <w:r>
        <w:t xml:space="preserve"> Unemployment</w:t>
      </w:r>
    </w:p>
    <w:p w14:paraId="37494BAB" w14:textId="77777777" w:rsidR="000D05C4" w:rsidRPr="000D05C4" w:rsidRDefault="000D05C4" w:rsidP="000D05C4"/>
    <w:p w14:paraId="2B61033B" w14:textId="134014C2" w:rsidR="00BF7032" w:rsidRDefault="00BF7032" w:rsidP="00BF7032">
      <w:r w:rsidRPr="00816266">
        <w:t xml:space="preserve">The model suggests the unemployment rate amongst dyslexic people is 13%. </w:t>
      </w:r>
      <w:r w:rsidR="00816266">
        <w:t xml:space="preserve"> </w:t>
      </w:r>
      <w:r w:rsidRPr="00816266">
        <w:t>The figure estimated by the model is two and a half times the average for people with no qualifications (See Table 7). The employment disadvantage faced by dyslexic people, cannot therefore simply be explained by lack of education attainment.</w:t>
      </w:r>
      <w:r>
        <w:t xml:space="preserve">  </w:t>
      </w:r>
    </w:p>
    <w:p w14:paraId="43C5B1B8" w14:textId="03D53125" w:rsidR="00BF7032" w:rsidRDefault="00BF7032" w:rsidP="00BF7032">
      <w:r w:rsidRPr="00816266">
        <w:t xml:space="preserve">Unemployment does not just impact the one in eight dyslexic people unemployed at any one time. All dyslexic people are likely to move in and out of employment more frequently and with more friction than non-dyslexic people. (In a </w:t>
      </w:r>
      <w:r w:rsidR="00816266" w:rsidRPr="00816266">
        <w:t>40-year</w:t>
      </w:r>
      <w:r w:rsidRPr="00816266">
        <w:t xml:space="preserve"> career, the average dyslexic person will spend 5 years being unemployed) Fear of unemployment consequently impacts on work choices made by all dyslexic people.</w:t>
      </w:r>
      <w:r>
        <w:t xml:space="preserve"> </w:t>
      </w:r>
    </w:p>
    <w:p w14:paraId="123FBE08" w14:textId="77777777" w:rsidR="00BF7032" w:rsidRDefault="00BF7032" w:rsidP="00BF7032">
      <w:r>
        <w:t xml:space="preserve">Education attainment is disproportionately important in enabling dyslexic people to secure employment. While as discussed earlier dyslexic graduates are nearly as likely to be in some form of employment, as non dyslexic graduates. The likelihood of unemployment rises steeply in less qualified groups. </w:t>
      </w:r>
    </w:p>
    <w:p w14:paraId="3269F8BF" w14:textId="61E5188B" w:rsidR="00BF7032" w:rsidRDefault="00BF7032" w:rsidP="00BF7032">
      <w:pPr>
        <w:rPr>
          <w:b/>
          <w:bCs/>
        </w:rPr>
      </w:pPr>
      <w:r>
        <w:rPr>
          <w:b/>
          <w:bCs/>
        </w:rPr>
        <w:t xml:space="preserve">Table 7- Percentage of 16-to-64-year-olds, who were unemployed and not in full-time education, by ethnicity and qualification level - </w:t>
      </w:r>
      <w:sdt>
        <w:sdtPr>
          <w:rPr>
            <w:b/>
            <w:bCs/>
          </w:rPr>
          <w:id w:val="698979409"/>
          <w:citation/>
        </w:sdtPr>
        <w:sdtEndPr/>
        <w:sdtContent>
          <w:r w:rsidR="00303CF7">
            <w:rPr>
              <w:b/>
              <w:bCs/>
            </w:rPr>
            <w:fldChar w:fldCharType="begin"/>
          </w:r>
          <w:r w:rsidR="00816266">
            <w:rPr>
              <w:b/>
              <w:bCs/>
            </w:rPr>
            <w:instrText xml:space="preserve">CITATION ONS20 \l 2057 </w:instrText>
          </w:r>
          <w:r w:rsidR="00303CF7">
            <w:rPr>
              <w:b/>
              <w:bCs/>
            </w:rPr>
            <w:fldChar w:fldCharType="separate"/>
          </w:r>
          <w:r w:rsidR="00FF6A5B">
            <w:rPr>
              <w:noProof/>
            </w:rPr>
            <w:t>(ONS, 2020)</w:t>
          </w:r>
          <w:r w:rsidR="00303CF7">
            <w:rPr>
              <w:b/>
              <w:bCs/>
            </w:rPr>
            <w:fldChar w:fldCharType="end"/>
          </w:r>
        </w:sdtContent>
      </w:sdt>
      <w:r>
        <w:rPr>
          <w:rStyle w:val="EndnoteReference"/>
          <w:b/>
          <w:bCs/>
        </w:rPr>
        <w:endnoteReference w:id="1"/>
      </w:r>
    </w:p>
    <w:p w14:paraId="1D753DF5" w14:textId="77777777" w:rsidR="00816266" w:rsidRDefault="00816266" w:rsidP="00BF7032">
      <w:pPr>
        <w:rPr>
          <w:b/>
          <w:bCs/>
        </w:rPr>
      </w:pPr>
    </w:p>
    <w:tbl>
      <w:tblPr>
        <w:tblStyle w:val="TableGrid"/>
        <w:tblW w:w="8812" w:type="dxa"/>
        <w:tblLayout w:type="fixed"/>
        <w:tblLook w:val="04A0" w:firstRow="1" w:lastRow="0" w:firstColumn="1" w:lastColumn="0" w:noHBand="0" w:noVBand="1"/>
      </w:tblPr>
      <w:tblGrid>
        <w:gridCol w:w="1412"/>
        <w:gridCol w:w="1288"/>
        <w:gridCol w:w="1288"/>
        <w:gridCol w:w="1288"/>
        <w:gridCol w:w="1288"/>
        <w:gridCol w:w="1288"/>
        <w:gridCol w:w="960"/>
      </w:tblGrid>
      <w:tr w:rsidR="00BF7032" w14:paraId="48AE1211" w14:textId="77777777" w:rsidTr="00C642F7">
        <w:tc>
          <w:tcPr>
            <w:tcW w:w="1412" w:type="dxa"/>
            <w:vMerge w:val="restart"/>
          </w:tcPr>
          <w:p w14:paraId="267887F0" w14:textId="77777777" w:rsidR="00BF7032" w:rsidRDefault="00BF7032" w:rsidP="00C642F7">
            <w:r>
              <w:rPr>
                <w:rFonts w:ascii="Calibri" w:eastAsia="Times New Roman" w:hAnsi="Calibri" w:cs="Calibri"/>
                <w:color w:val="000000"/>
              </w:rPr>
              <w:t>Highest qualification held</w:t>
            </w:r>
          </w:p>
        </w:tc>
        <w:tc>
          <w:tcPr>
            <w:tcW w:w="1288" w:type="dxa"/>
            <w:shd w:val="clear" w:color="auto" w:fill="808080" w:themeFill="background1" w:themeFillShade="80"/>
          </w:tcPr>
          <w:p w14:paraId="7903BFC7" w14:textId="77777777" w:rsidR="00BF7032" w:rsidRDefault="00BF7032" w:rsidP="00C642F7">
            <w:r>
              <w:rPr>
                <w:rFonts w:ascii="Calibri" w:eastAsia="Times New Roman" w:hAnsi="Calibri" w:cs="Calibri"/>
                <w:color w:val="000000"/>
              </w:rPr>
              <w:t>All</w:t>
            </w:r>
          </w:p>
        </w:tc>
        <w:tc>
          <w:tcPr>
            <w:tcW w:w="1288" w:type="dxa"/>
          </w:tcPr>
          <w:p w14:paraId="1FE11AF9" w14:textId="77777777" w:rsidR="00BF7032" w:rsidRDefault="00BF7032" w:rsidP="00C642F7">
            <w:r>
              <w:rPr>
                <w:rFonts w:ascii="Calibri" w:eastAsia="Times New Roman" w:hAnsi="Calibri" w:cs="Calibri"/>
                <w:color w:val="000000"/>
              </w:rPr>
              <w:t>Asian</w:t>
            </w:r>
          </w:p>
        </w:tc>
        <w:tc>
          <w:tcPr>
            <w:tcW w:w="1288" w:type="dxa"/>
          </w:tcPr>
          <w:p w14:paraId="19D488AB" w14:textId="77777777" w:rsidR="00BF7032" w:rsidRDefault="00BF7032" w:rsidP="00C642F7">
            <w:r>
              <w:rPr>
                <w:rFonts w:ascii="Calibri" w:eastAsia="Times New Roman" w:hAnsi="Calibri" w:cs="Calibri"/>
                <w:color w:val="000000"/>
              </w:rPr>
              <w:t>Black</w:t>
            </w:r>
          </w:p>
        </w:tc>
        <w:tc>
          <w:tcPr>
            <w:tcW w:w="1288" w:type="dxa"/>
          </w:tcPr>
          <w:p w14:paraId="098BC32B" w14:textId="77777777" w:rsidR="00BF7032" w:rsidRDefault="00BF7032" w:rsidP="00C642F7">
            <w:r>
              <w:rPr>
                <w:rFonts w:ascii="Calibri" w:eastAsia="Times New Roman" w:hAnsi="Calibri" w:cs="Calibri"/>
                <w:color w:val="000000"/>
              </w:rPr>
              <w:t>Mixed</w:t>
            </w:r>
          </w:p>
        </w:tc>
        <w:tc>
          <w:tcPr>
            <w:tcW w:w="1288" w:type="dxa"/>
          </w:tcPr>
          <w:p w14:paraId="51CB0131" w14:textId="77777777" w:rsidR="00BF7032" w:rsidRDefault="00BF7032" w:rsidP="00C642F7">
            <w:r>
              <w:rPr>
                <w:rFonts w:ascii="Calibri" w:eastAsia="Times New Roman" w:hAnsi="Calibri" w:cs="Calibri"/>
                <w:color w:val="000000"/>
              </w:rPr>
              <w:t>White</w:t>
            </w:r>
          </w:p>
        </w:tc>
        <w:tc>
          <w:tcPr>
            <w:tcW w:w="960" w:type="dxa"/>
          </w:tcPr>
          <w:p w14:paraId="73F993F5" w14:textId="77777777" w:rsidR="00BF7032" w:rsidRDefault="00BF7032" w:rsidP="00C642F7">
            <w:r>
              <w:rPr>
                <w:rFonts w:ascii="Calibri" w:eastAsia="Times New Roman" w:hAnsi="Calibri" w:cs="Calibri"/>
                <w:color w:val="000000"/>
              </w:rPr>
              <w:t>Other</w:t>
            </w:r>
          </w:p>
        </w:tc>
      </w:tr>
      <w:tr w:rsidR="00BF7032" w14:paraId="172CB9DE" w14:textId="77777777" w:rsidTr="00C642F7">
        <w:trPr>
          <w:trHeight w:val="290"/>
        </w:trPr>
        <w:tc>
          <w:tcPr>
            <w:tcW w:w="1412" w:type="dxa"/>
            <w:vMerge/>
            <w:noWrap/>
          </w:tcPr>
          <w:p w14:paraId="58F7FDF3" w14:textId="77777777" w:rsidR="00BF7032" w:rsidRDefault="00BF7032" w:rsidP="00C642F7">
            <w:pPr>
              <w:rPr>
                <w:rFonts w:ascii="Times New Roman" w:eastAsia="Times New Roman" w:hAnsi="Times New Roman" w:cs="Times New Roman"/>
                <w:sz w:val="24"/>
                <w:szCs w:val="24"/>
              </w:rPr>
            </w:pPr>
          </w:p>
        </w:tc>
        <w:tc>
          <w:tcPr>
            <w:tcW w:w="1288" w:type="dxa"/>
            <w:shd w:val="clear" w:color="auto" w:fill="808080" w:themeFill="background1" w:themeFillShade="80"/>
            <w:noWrap/>
          </w:tcPr>
          <w:p w14:paraId="3CD64312" w14:textId="77777777" w:rsidR="00BF7032" w:rsidRDefault="00BF7032" w:rsidP="00C642F7">
            <w:pPr>
              <w:rPr>
                <w:rFonts w:ascii="Calibri" w:eastAsia="Times New Roman" w:hAnsi="Calibri" w:cs="Calibri"/>
                <w:color w:val="000000"/>
              </w:rPr>
            </w:pPr>
          </w:p>
        </w:tc>
        <w:tc>
          <w:tcPr>
            <w:tcW w:w="1288" w:type="dxa"/>
            <w:noWrap/>
          </w:tcPr>
          <w:p w14:paraId="02D7E3AF" w14:textId="77777777" w:rsidR="00BF7032" w:rsidRDefault="00BF7032" w:rsidP="00C642F7">
            <w:pPr>
              <w:rPr>
                <w:rFonts w:ascii="Calibri" w:eastAsia="Times New Roman" w:hAnsi="Calibri" w:cs="Calibri"/>
                <w:color w:val="000000"/>
              </w:rPr>
            </w:pPr>
          </w:p>
        </w:tc>
        <w:tc>
          <w:tcPr>
            <w:tcW w:w="1288" w:type="dxa"/>
            <w:noWrap/>
          </w:tcPr>
          <w:p w14:paraId="2F465165" w14:textId="77777777" w:rsidR="00BF7032" w:rsidRDefault="00BF7032" w:rsidP="00C642F7">
            <w:pPr>
              <w:rPr>
                <w:rFonts w:ascii="Calibri" w:eastAsia="Times New Roman" w:hAnsi="Calibri" w:cs="Calibri"/>
                <w:color w:val="000000"/>
              </w:rPr>
            </w:pPr>
          </w:p>
        </w:tc>
        <w:tc>
          <w:tcPr>
            <w:tcW w:w="1288" w:type="dxa"/>
            <w:noWrap/>
          </w:tcPr>
          <w:p w14:paraId="37AD589A" w14:textId="77777777" w:rsidR="00BF7032" w:rsidRDefault="00BF7032" w:rsidP="00C642F7">
            <w:pPr>
              <w:rPr>
                <w:rFonts w:ascii="Calibri" w:eastAsia="Times New Roman" w:hAnsi="Calibri" w:cs="Calibri"/>
                <w:color w:val="000000"/>
              </w:rPr>
            </w:pPr>
          </w:p>
        </w:tc>
        <w:tc>
          <w:tcPr>
            <w:tcW w:w="1288" w:type="dxa"/>
            <w:noWrap/>
          </w:tcPr>
          <w:p w14:paraId="102CCC50" w14:textId="77777777" w:rsidR="00BF7032" w:rsidRDefault="00BF7032" w:rsidP="00C642F7">
            <w:pPr>
              <w:rPr>
                <w:rFonts w:ascii="Calibri" w:eastAsia="Times New Roman" w:hAnsi="Calibri" w:cs="Calibri"/>
                <w:color w:val="000000"/>
              </w:rPr>
            </w:pPr>
          </w:p>
        </w:tc>
        <w:tc>
          <w:tcPr>
            <w:tcW w:w="960" w:type="dxa"/>
            <w:noWrap/>
          </w:tcPr>
          <w:p w14:paraId="21A6CDAA" w14:textId="77777777" w:rsidR="00BF7032" w:rsidRDefault="00BF7032" w:rsidP="00C642F7">
            <w:pPr>
              <w:rPr>
                <w:rFonts w:ascii="Calibri" w:eastAsia="Times New Roman" w:hAnsi="Calibri" w:cs="Calibri"/>
                <w:color w:val="000000"/>
              </w:rPr>
            </w:pPr>
          </w:p>
        </w:tc>
      </w:tr>
      <w:tr w:rsidR="00BF7032" w14:paraId="2B53FF10" w14:textId="77777777" w:rsidTr="00C642F7">
        <w:trPr>
          <w:trHeight w:val="290"/>
        </w:trPr>
        <w:tc>
          <w:tcPr>
            <w:tcW w:w="1412" w:type="dxa"/>
            <w:shd w:val="clear" w:color="auto" w:fill="808080" w:themeFill="background1" w:themeFillShade="80"/>
            <w:noWrap/>
          </w:tcPr>
          <w:p w14:paraId="29E33B96" w14:textId="77777777" w:rsidR="00BF7032" w:rsidRDefault="00BF7032" w:rsidP="00C642F7">
            <w:pPr>
              <w:jc w:val="right"/>
              <w:rPr>
                <w:rFonts w:ascii="Calibri" w:eastAsia="Times New Roman" w:hAnsi="Calibri" w:cs="Calibri"/>
                <w:color w:val="000000"/>
              </w:rPr>
            </w:pPr>
            <w:r>
              <w:rPr>
                <w:rFonts w:ascii="Calibri" w:eastAsia="Times New Roman" w:hAnsi="Calibri" w:cs="Calibri"/>
                <w:color w:val="000000"/>
              </w:rPr>
              <w:t>All</w:t>
            </w:r>
          </w:p>
        </w:tc>
        <w:tc>
          <w:tcPr>
            <w:tcW w:w="1288" w:type="dxa"/>
            <w:shd w:val="clear" w:color="auto" w:fill="808080" w:themeFill="background1" w:themeFillShade="80"/>
            <w:noWrap/>
          </w:tcPr>
          <w:p w14:paraId="0D71BD57" w14:textId="77777777" w:rsidR="00BF7032" w:rsidRDefault="00BF7032" w:rsidP="00C642F7">
            <w:pPr>
              <w:jc w:val="right"/>
              <w:rPr>
                <w:rFonts w:ascii="Calibri" w:eastAsia="Times New Roman" w:hAnsi="Calibri" w:cs="Calibri"/>
                <w:color w:val="000000"/>
              </w:rPr>
            </w:pPr>
            <w:r>
              <w:rPr>
                <w:rFonts w:ascii="Calibri" w:eastAsia="Times New Roman" w:hAnsi="Calibri" w:cs="Calibri"/>
                <w:color w:val="000000"/>
              </w:rPr>
              <w:t>3%</w:t>
            </w:r>
          </w:p>
        </w:tc>
        <w:tc>
          <w:tcPr>
            <w:tcW w:w="1288" w:type="dxa"/>
            <w:shd w:val="clear" w:color="auto" w:fill="808080" w:themeFill="background1" w:themeFillShade="80"/>
            <w:noWrap/>
          </w:tcPr>
          <w:p w14:paraId="5F796FE5" w14:textId="77777777" w:rsidR="00BF7032" w:rsidRDefault="00BF7032" w:rsidP="00C642F7">
            <w:pPr>
              <w:jc w:val="right"/>
              <w:rPr>
                <w:rFonts w:ascii="Times New Roman" w:eastAsia="Times New Roman" w:hAnsi="Times New Roman" w:cs="Times New Roman"/>
              </w:rPr>
            </w:pPr>
            <w:r>
              <w:rPr>
                <w:rFonts w:ascii="Calibri" w:eastAsia="Times New Roman" w:hAnsi="Calibri" w:cs="Calibri"/>
                <w:color w:val="000000"/>
              </w:rPr>
              <w:t>4%</w:t>
            </w:r>
          </w:p>
        </w:tc>
        <w:tc>
          <w:tcPr>
            <w:tcW w:w="1288" w:type="dxa"/>
            <w:shd w:val="clear" w:color="auto" w:fill="808080" w:themeFill="background1" w:themeFillShade="80"/>
            <w:noWrap/>
          </w:tcPr>
          <w:p w14:paraId="50C6945C" w14:textId="77777777" w:rsidR="00BF7032" w:rsidRDefault="00BF7032" w:rsidP="00C642F7">
            <w:pPr>
              <w:jc w:val="right"/>
              <w:rPr>
                <w:rFonts w:ascii="Times New Roman" w:eastAsia="Times New Roman" w:hAnsi="Times New Roman" w:cs="Times New Roman"/>
              </w:rPr>
            </w:pPr>
            <w:r>
              <w:rPr>
                <w:rFonts w:ascii="Calibri" w:eastAsia="Times New Roman" w:hAnsi="Calibri" w:cs="Calibri"/>
                <w:color w:val="000000"/>
              </w:rPr>
              <w:t>6%</w:t>
            </w:r>
          </w:p>
        </w:tc>
        <w:tc>
          <w:tcPr>
            <w:tcW w:w="1288" w:type="dxa"/>
            <w:shd w:val="clear" w:color="auto" w:fill="808080" w:themeFill="background1" w:themeFillShade="80"/>
            <w:noWrap/>
          </w:tcPr>
          <w:p w14:paraId="6D366409" w14:textId="77777777" w:rsidR="00BF7032" w:rsidRDefault="00BF7032" w:rsidP="00C642F7">
            <w:pPr>
              <w:jc w:val="right"/>
              <w:rPr>
                <w:rFonts w:ascii="Times New Roman" w:eastAsia="Times New Roman" w:hAnsi="Times New Roman" w:cs="Times New Roman"/>
              </w:rPr>
            </w:pPr>
            <w:r>
              <w:rPr>
                <w:rFonts w:ascii="Calibri" w:eastAsia="Times New Roman" w:hAnsi="Calibri" w:cs="Calibri"/>
                <w:color w:val="000000"/>
              </w:rPr>
              <w:t>5%</w:t>
            </w:r>
          </w:p>
        </w:tc>
        <w:tc>
          <w:tcPr>
            <w:tcW w:w="1288" w:type="dxa"/>
            <w:shd w:val="clear" w:color="auto" w:fill="808080" w:themeFill="background1" w:themeFillShade="80"/>
            <w:noWrap/>
          </w:tcPr>
          <w:p w14:paraId="5AA8AC92" w14:textId="77777777" w:rsidR="00BF7032" w:rsidRDefault="00BF7032" w:rsidP="00C642F7">
            <w:pPr>
              <w:jc w:val="right"/>
              <w:rPr>
                <w:rFonts w:ascii="Times New Roman" w:eastAsia="Times New Roman" w:hAnsi="Times New Roman" w:cs="Times New Roman"/>
              </w:rPr>
            </w:pPr>
            <w:r>
              <w:rPr>
                <w:rFonts w:ascii="Calibri" w:eastAsia="Times New Roman" w:hAnsi="Calibri" w:cs="Calibri"/>
                <w:color w:val="000000"/>
              </w:rPr>
              <w:t>3%</w:t>
            </w:r>
          </w:p>
        </w:tc>
        <w:tc>
          <w:tcPr>
            <w:tcW w:w="960" w:type="dxa"/>
            <w:shd w:val="clear" w:color="auto" w:fill="808080" w:themeFill="background1" w:themeFillShade="80"/>
          </w:tcPr>
          <w:p w14:paraId="13F14E42" w14:textId="77777777" w:rsidR="00BF7032" w:rsidRDefault="00BF7032" w:rsidP="00C642F7">
            <w:pPr>
              <w:jc w:val="right"/>
              <w:rPr>
                <w:rFonts w:ascii="Times New Roman" w:eastAsia="Times New Roman" w:hAnsi="Times New Roman" w:cs="Times New Roman"/>
              </w:rPr>
            </w:pPr>
            <w:r>
              <w:rPr>
                <w:rFonts w:ascii="Calibri" w:eastAsia="Times New Roman" w:hAnsi="Calibri" w:cs="Calibri"/>
                <w:color w:val="000000"/>
              </w:rPr>
              <w:t>4%</w:t>
            </w:r>
          </w:p>
        </w:tc>
      </w:tr>
      <w:tr w:rsidR="00BF7032" w14:paraId="7EBAD42D" w14:textId="77777777" w:rsidTr="00C642F7">
        <w:trPr>
          <w:trHeight w:val="290"/>
        </w:trPr>
        <w:tc>
          <w:tcPr>
            <w:tcW w:w="1412" w:type="dxa"/>
            <w:noWrap/>
          </w:tcPr>
          <w:p w14:paraId="506CCE6C" w14:textId="77777777" w:rsidR="00BF7032" w:rsidRDefault="00BF7032" w:rsidP="00C642F7">
            <w:pPr>
              <w:rPr>
                <w:rFonts w:ascii="Calibri" w:eastAsia="Times New Roman" w:hAnsi="Calibri" w:cs="Calibri"/>
                <w:color w:val="000000"/>
              </w:rPr>
            </w:pPr>
            <w:r>
              <w:rPr>
                <w:rFonts w:ascii="Calibri" w:eastAsia="Times New Roman" w:hAnsi="Calibri" w:cs="Calibri"/>
                <w:color w:val="000000"/>
              </w:rPr>
              <w:t>Level 4 and above</w:t>
            </w:r>
          </w:p>
        </w:tc>
        <w:tc>
          <w:tcPr>
            <w:tcW w:w="1288" w:type="dxa"/>
            <w:shd w:val="clear" w:color="auto" w:fill="808080" w:themeFill="background1" w:themeFillShade="80"/>
            <w:noWrap/>
          </w:tcPr>
          <w:p w14:paraId="7937D541" w14:textId="77777777" w:rsidR="00BF7032" w:rsidRDefault="00BF7032" w:rsidP="00C642F7">
            <w:pPr>
              <w:jc w:val="right"/>
              <w:rPr>
                <w:rFonts w:ascii="Calibri" w:eastAsia="Times New Roman" w:hAnsi="Calibri" w:cs="Calibri"/>
                <w:color w:val="000000"/>
              </w:rPr>
            </w:pPr>
            <w:r>
              <w:rPr>
                <w:rFonts w:ascii="Calibri" w:eastAsia="Times New Roman" w:hAnsi="Calibri" w:cs="Calibri"/>
                <w:color w:val="000000"/>
              </w:rPr>
              <w:t>2%</w:t>
            </w:r>
          </w:p>
        </w:tc>
        <w:tc>
          <w:tcPr>
            <w:tcW w:w="1288" w:type="dxa"/>
            <w:noWrap/>
          </w:tcPr>
          <w:p w14:paraId="6DFD1E83" w14:textId="77777777" w:rsidR="00BF7032" w:rsidRDefault="00BF7032" w:rsidP="00C642F7">
            <w:pPr>
              <w:jc w:val="right"/>
              <w:rPr>
                <w:rFonts w:ascii="Calibri" w:eastAsia="Times New Roman" w:hAnsi="Calibri" w:cs="Calibri"/>
                <w:color w:val="000000"/>
              </w:rPr>
            </w:pPr>
            <w:r>
              <w:rPr>
                <w:rFonts w:ascii="Calibri" w:eastAsia="Times New Roman" w:hAnsi="Calibri" w:cs="Calibri"/>
                <w:color w:val="000000"/>
              </w:rPr>
              <w:t>4%</w:t>
            </w:r>
          </w:p>
        </w:tc>
        <w:tc>
          <w:tcPr>
            <w:tcW w:w="1288" w:type="dxa"/>
            <w:noWrap/>
          </w:tcPr>
          <w:p w14:paraId="22888A31" w14:textId="77777777" w:rsidR="00BF7032" w:rsidRDefault="00BF7032" w:rsidP="00C642F7">
            <w:pPr>
              <w:jc w:val="right"/>
              <w:rPr>
                <w:rFonts w:ascii="Calibri" w:eastAsia="Times New Roman" w:hAnsi="Calibri" w:cs="Calibri"/>
                <w:color w:val="000000"/>
              </w:rPr>
            </w:pPr>
            <w:r>
              <w:rPr>
                <w:rFonts w:ascii="Calibri" w:eastAsia="Times New Roman" w:hAnsi="Calibri" w:cs="Calibri"/>
                <w:color w:val="000000"/>
              </w:rPr>
              <w:t>6%</w:t>
            </w:r>
          </w:p>
        </w:tc>
        <w:tc>
          <w:tcPr>
            <w:tcW w:w="1288" w:type="dxa"/>
            <w:noWrap/>
          </w:tcPr>
          <w:p w14:paraId="6B2A445A" w14:textId="77777777" w:rsidR="00BF7032" w:rsidRDefault="00BF7032" w:rsidP="00C642F7">
            <w:pPr>
              <w:jc w:val="right"/>
              <w:rPr>
                <w:rFonts w:ascii="Calibri" w:eastAsia="Times New Roman" w:hAnsi="Calibri" w:cs="Calibri"/>
                <w:color w:val="000000"/>
              </w:rPr>
            </w:pPr>
            <w:r>
              <w:rPr>
                <w:rFonts w:ascii="Calibri" w:eastAsia="Times New Roman" w:hAnsi="Calibri" w:cs="Calibri"/>
                <w:color w:val="000000"/>
              </w:rPr>
              <w:t>3%</w:t>
            </w:r>
          </w:p>
        </w:tc>
        <w:tc>
          <w:tcPr>
            <w:tcW w:w="1288" w:type="dxa"/>
            <w:noWrap/>
          </w:tcPr>
          <w:p w14:paraId="4F8D26A2" w14:textId="77777777" w:rsidR="00BF7032" w:rsidRDefault="00BF7032" w:rsidP="00C642F7">
            <w:pPr>
              <w:jc w:val="right"/>
              <w:rPr>
                <w:rFonts w:ascii="Calibri" w:eastAsia="Times New Roman" w:hAnsi="Calibri" w:cs="Calibri"/>
                <w:color w:val="000000"/>
              </w:rPr>
            </w:pPr>
            <w:r>
              <w:rPr>
                <w:rFonts w:ascii="Calibri" w:eastAsia="Times New Roman" w:hAnsi="Calibri" w:cs="Calibri"/>
                <w:color w:val="000000"/>
              </w:rPr>
              <w:t>2%</w:t>
            </w:r>
          </w:p>
        </w:tc>
        <w:tc>
          <w:tcPr>
            <w:tcW w:w="960" w:type="dxa"/>
            <w:noWrap/>
          </w:tcPr>
          <w:p w14:paraId="750FEB17" w14:textId="77777777" w:rsidR="00BF7032" w:rsidRDefault="00BF7032" w:rsidP="00C642F7">
            <w:pPr>
              <w:jc w:val="right"/>
              <w:rPr>
                <w:rFonts w:ascii="Calibri" w:eastAsia="Times New Roman" w:hAnsi="Calibri" w:cs="Calibri"/>
                <w:color w:val="000000"/>
              </w:rPr>
            </w:pPr>
            <w:r>
              <w:rPr>
                <w:rFonts w:ascii="Calibri" w:eastAsia="Times New Roman" w:hAnsi="Calibri" w:cs="Calibri"/>
                <w:color w:val="000000"/>
              </w:rPr>
              <w:t>3%</w:t>
            </w:r>
          </w:p>
        </w:tc>
      </w:tr>
      <w:tr w:rsidR="00BF7032" w14:paraId="1608D608" w14:textId="77777777" w:rsidTr="00C642F7">
        <w:trPr>
          <w:trHeight w:val="290"/>
        </w:trPr>
        <w:tc>
          <w:tcPr>
            <w:tcW w:w="1412" w:type="dxa"/>
            <w:noWrap/>
          </w:tcPr>
          <w:p w14:paraId="606AC83E" w14:textId="77777777" w:rsidR="00BF7032" w:rsidRDefault="00BF7032" w:rsidP="00C642F7">
            <w:pPr>
              <w:rPr>
                <w:rFonts w:ascii="Calibri" w:eastAsia="Times New Roman" w:hAnsi="Calibri" w:cs="Calibri"/>
                <w:color w:val="000000"/>
              </w:rPr>
            </w:pPr>
            <w:r>
              <w:rPr>
                <w:rFonts w:ascii="Calibri" w:eastAsia="Times New Roman" w:hAnsi="Calibri" w:cs="Calibri"/>
                <w:color w:val="000000"/>
              </w:rPr>
              <w:t>Level 3</w:t>
            </w:r>
          </w:p>
        </w:tc>
        <w:tc>
          <w:tcPr>
            <w:tcW w:w="1288" w:type="dxa"/>
            <w:shd w:val="clear" w:color="auto" w:fill="808080" w:themeFill="background1" w:themeFillShade="80"/>
            <w:noWrap/>
          </w:tcPr>
          <w:p w14:paraId="7B90E323" w14:textId="77777777" w:rsidR="00BF7032" w:rsidRDefault="00BF7032" w:rsidP="00C642F7">
            <w:pPr>
              <w:jc w:val="right"/>
              <w:rPr>
                <w:rFonts w:ascii="Calibri" w:eastAsia="Times New Roman" w:hAnsi="Calibri" w:cs="Calibri"/>
                <w:color w:val="000000"/>
              </w:rPr>
            </w:pPr>
            <w:r>
              <w:rPr>
                <w:rFonts w:ascii="Calibri" w:eastAsia="Times New Roman" w:hAnsi="Calibri" w:cs="Calibri"/>
                <w:color w:val="000000"/>
              </w:rPr>
              <w:t>3%</w:t>
            </w:r>
          </w:p>
        </w:tc>
        <w:tc>
          <w:tcPr>
            <w:tcW w:w="1288" w:type="dxa"/>
            <w:noWrap/>
          </w:tcPr>
          <w:p w14:paraId="0066B625" w14:textId="77777777" w:rsidR="00BF7032" w:rsidRDefault="00BF7032" w:rsidP="00C642F7">
            <w:pPr>
              <w:jc w:val="right"/>
              <w:rPr>
                <w:rFonts w:ascii="Calibri" w:eastAsia="Times New Roman" w:hAnsi="Calibri" w:cs="Calibri"/>
                <w:color w:val="000000"/>
              </w:rPr>
            </w:pPr>
            <w:r>
              <w:rPr>
                <w:rFonts w:ascii="Calibri" w:eastAsia="Times New Roman" w:hAnsi="Calibri" w:cs="Calibri"/>
                <w:color w:val="000000"/>
              </w:rPr>
              <w:t>6%</w:t>
            </w:r>
          </w:p>
        </w:tc>
        <w:tc>
          <w:tcPr>
            <w:tcW w:w="1288" w:type="dxa"/>
            <w:noWrap/>
          </w:tcPr>
          <w:p w14:paraId="7F6669CD" w14:textId="77777777" w:rsidR="00BF7032" w:rsidRDefault="00BF7032" w:rsidP="00C642F7">
            <w:pPr>
              <w:jc w:val="right"/>
              <w:rPr>
                <w:rFonts w:ascii="Calibri" w:eastAsia="Times New Roman" w:hAnsi="Calibri" w:cs="Calibri"/>
                <w:color w:val="000000"/>
              </w:rPr>
            </w:pPr>
            <w:r>
              <w:rPr>
                <w:rFonts w:ascii="Calibri" w:eastAsia="Times New Roman" w:hAnsi="Calibri" w:cs="Calibri"/>
                <w:color w:val="000000"/>
              </w:rPr>
              <w:t>7%</w:t>
            </w:r>
          </w:p>
        </w:tc>
        <w:tc>
          <w:tcPr>
            <w:tcW w:w="1288" w:type="dxa"/>
            <w:noWrap/>
          </w:tcPr>
          <w:p w14:paraId="16F5DECE" w14:textId="77777777" w:rsidR="00BF7032" w:rsidRDefault="00BF7032" w:rsidP="00C642F7">
            <w:pPr>
              <w:jc w:val="right"/>
              <w:rPr>
                <w:rFonts w:ascii="Calibri" w:eastAsia="Times New Roman" w:hAnsi="Calibri" w:cs="Calibri"/>
                <w:color w:val="000000"/>
              </w:rPr>
            </w:pPr>
            <w:r>
              <w:rPr>
                <w:rFonts w:ascii="Calibri" w:eastAsia="Times New Roman" w:hAnsi="Calibri" w:cs="Calibri"/>
                <w:color w:val="000000"/>
              </w:rPr>
              <w:t>6%</w:t>
            </w:r>
          </w:p>
        </w:tc>
        <w:tc>
          <w:tcPr>
            <w:tcW w:w="1288" w:type="dxa"/>
            <w:noWrap/>
          </w:tcPr>
          <w:p w14:paraId="717133F7" w14:textId="77777777" w:rsidR="00BF7032" w:rsidRDefault="00BF7032" w:rsidP="00C642F7">
            <w:pPr>
              <w:jc w:val="right"/>
              <w:rPr>
                <w:rFonts w:ascii="Calibri" w:eastAsia="Times New Roman" w:hAnsi="Calibri" w:cs="Calibri"/>
                <w:color w:val="000000"/>
              </w:rPr>
            </w:pPr>
            <w:r>
              <w:rPr>
                <w:rFonts w:ascii="Calibri" w:eastAsia="Times New Roman" w:hAnsi="Calibri" w:cs="Calibri"/>
                <w:color w:val="000000"/>
              </w:rPr>
              <w:t>3%</w:t>
            </w:r>
          </w:p>
        </w:tc>
        <w:tc>
          <w:tcPr>
            <w:tcW w:w="960" w:type="dxa"/>
            <w:noWrap/>
          </w:tcPr>
          <w:p w14:paraId="1EE36E3D" w14:textId="77777777" w:rsidR="00BF7032" w:rsidRDefault="00BF7032" w:rsidP="00C642F7">
            <w:pPr>
              <w:jc w:val="right"/>
              <w:rPr>
                <w:rFonts w:ascii="Calibri" w:eastAsia="Times New Roman" w:hAnsi="Calibri" w:cs="Calibri"/>
                <w:color w:val="000000"/>
              </w:rPr>
            </w:pPr>
            <w:r>
              <w:rPr>
                <w:rFonts w:ascii="Calibri" w:eastAsia="Times New Roman" w:hAnsi="Calibri" w:cs="Calibri"/>
                <w:color w:val="000000"/>
              </w:rPr>
              <w:t>8%</w:t>
            </w:r>
          </w:p>
        </w:tc>
      </w:tr>
      <w:tr w:rsidR="00BF7032" w14:paraId="696F2383" w14:textId="77777777" w:rsidTr="00C642F7">
        <w:trPr>
          <w:trHeight w:val="290"/>
        </w:trPr>
        <w:tc>
          <w:tcPr>
            <w:tcW w:w="1412" w:type="dxa"/>
            <w:noWrap/>
          </w:tcPr>
          <w:p w14:paraId="6C07A966" w14:textId="77777777" w:rsidR="00BF7032" w:rsidRDefault="00BF7032" w:rsidP="00C642F7">
            <w:pPr>
              <w:rPr>
                <w:rFonts w:ascii="Calibri" w:eastAsia="Times New Roman" w:hAnsi="Calibri" w:cs="Calibri"/>
                <w:color w:val="000000"/>
              </w:rPr>
            </w:pPr>
            <w:r>
              <w:rPr>
                <w:rFonts w:ascii="Calibri" w:eastAsia="Times New Roman" w:hAnsi="Calibri" w:cs="Calibri"/>
                <w:color w:val="000000"/>
              </w:rPr>
              <w:t>Level 2</w:t>
            </w:r>
          </w:p>
        </w:tc>
        <w:tc>
          <w:tcPr>
            <w:tcW w:w="1288" w:type="dxa"/>
            <w:shd w:val="clear" w:color="auto" w:fill="808080" w:themeFill="background1" w:themeFillShade="80"/>
            <w:noWrap/>
          </w:tcPr>
          <w:p w14:paraId="7CFAAC9B" w14:textId="77777777" w:rsidR="00BF7032" w:rsidRDefault="00BF7032" w:rsidP="00C642F7">
            <w:pPr>
              <w:jc w:val="right"/>
              <w:rPr>
                <w:rFonts w:ascii="Calibri" w:eastAsia="Times New Roman" w:hAnsi="Calibri" w:cs="Calibri"/>
                <w:color w:val="000000"/>
              </w:rPr>
            </w:pPr>
            <w:r>
              <w:rPr>
                <w:rFonts w:ascii="Calibri" w:eastAsia="Times New Roman" w:hAnsi="Calibri" w:cs="Calibri"/>
                <w:color w:val="000000"/>
              </w:rPr>
              <w:t>3%</w:t>
            </w:r>
          </w:p>
        </w:tc>
        <w:tc>
          <w:tcPr>
            <w:tcW w:w="1288" w:type="dxa"/>
            <w:noWrap/>
          </w:tcPr>
          <w:p w14:paraId="37BCAE92" w14:textId="77777777" w:rsidR="00BF7032" w:rsidRDefault="00BF7032" w:rsidP="00C642F7">
            <w:pPr>
              <w:jc w:val="right"/>
              <w:rPr>
                <w:rFonts w:ascii="Calibri" w:eastAsia="Times New Roman" w:hAnsi="Calibri" w:cs="Calibri"/>
                <w:color w:val="000000"/>
              </w:rPr>
            </w:pPr>
            <w:r>
              <w:rPr>
                <w:rFonts w:ascii="Calibri" w:eastAsia="Times New Roman" w:hAnsi="Calibri" w:cs="Calibri"/>
                <w:color w:val="000000"/>
              </w:rPr>
              <w:t>5%</w:t>
            </w:r>
          </w:p>
        </w:tc>
        <w:tc>
          <w:tcPr>
            <w:tcW w:w="1288" w:type="dxa"/>
            <w:noWrap/>
          </w:tcPr>
          <w:p w14:paraId="5C81DF0B" w14:textId="77777777" w:rsidR="00BF7032" w:rsidRDefault="00BF7032" w:rsidP="00C642F7">
            <w:pPr>
              <w:jc w:val="right"/>
              <w:rPr>
                <w:rFonts w:ascii="Calibri" w:eastAsia="Times New Roman" w:hAnsi="Calibri" w:cs="Calibri"/>
                <w:color w:val="000000"/>
              </w:rPr>
            </w:pPr>
            <w:r>
              <w:rPr>
                <w:rFonts w:ascii="Calibri" w:eastAsia="Times New Roman" w:hAnsi="Calibri" w:cs="Calibri"/>
                <w:color w:val="000000"/>
              </w:rPr>
              <w:t>7%</w:t>
            </w:r>
          </w:p>
        </w:tc>
        <w:tc>
          <w:tcPr>
            <w:tcW w:w="1288" w:type="dxa"/>
            <w:noWrap/>
          </w:tcPr>
          <w:p w14:paraId="7D569830" w14:textId="77777777" w:rsidR="00BF7032" w:rsidRDefault="00BF7032" w:rsidP="00C642F7">
            <w:pPr>
              <w:jc w:val="right"/>
              <w:rPr>
                <w:rFonts w:ascii="Calibri" w:eastAsia="Times New Roman" w:hAnsi="Calibri" w:cs="Calibri"/>
                <w:color w:val="000000"/>
              </w:rPr>
            </w:pPr>
            <w:r>
              <w:rPr>
                <w:rFonts w:ascii="Calibri" w:eastAsia="Times New Roman" w:hAnsi="Calibri" w:cs="Calibri"/>
                <w:color w:val="000000"/>
              </w:rPr>
              <w:t>6%</w:t>
            </w:r>
          </w:p>
        </w:tc>
        <w:tc>
          <w:tcPr>
            <w:tcW w:w="1288" w:type="dxa"/>
            <w:noWrap/>
          </w:tcPr>
          <w:p w14:paraId="7E19588D" w14:textId="77777777" w:rsidR="00BF7032" w:rsidRDefault="00BF7032" w:rsidP="00C642F7">
            <w:pPr>
              <w:jc w:val="right"/>
              <w:rPr>
                <w:rFonts w:ascii="Calibri" w:eastAsia="Times New Roman" w:hAnsi="Calibri" w:cs="Calibri"/>
                <w:color w:val="000000"/>
              </w:rPr>
            </w:pPr>
            <w:r>
              <w:rPr>
                <w:rFonts w:ascii="Calibri" w:eastAsia="Times New Roman" w:hAnsi="Calibri" w:cs="Calibri"/>
                <w:color w:val="000000"/>
              </w:rPr>
              <w:t>3%</w:t>
            </w:r>
          </w:p>
        </w:tc>
        <w:tc>
          <w:tcPr>
            <w:tcW w:w="960" w:type="dxa"/>
            <w:noWrap/>
          </w:tcPr>
          <w:p w14:paraId="2D6727D0" w14:textId="77777777" w:rsidR="00BF7032" w:rsidRDefault="00BF7032" w:rsidP="00C642F7">
            <w:pPr>
              <w:jc w:val="right"/>
              <w:rPr>
                <w:rFonts w:ascii="Calibri" w:eastAsia="Times New Roman" w:hAnsi="Calibri" w:cs="Calibri"/>
                <w:color w:val="000000"/>
              </w:rPr>
            </w:pPr>
            <w:r>
              <w:rPr>
                <w:rFonts w:ascii="Calibri" w:eastAsia="Times New Roman" w:hAnsi="Calibri" w:cs="Calibri"/>
                <w:color w:val="000000"/>
              </w:rPr>
              <w:t>9%</w:t>
            </w:r>
          </w:p>
        </w:tc>
      </w:tr>
      <w:tr w:rsidR="00BF7032" w14:paraId="7C33B7F9" w14:textId="77777777" w:rsidTr="00C642F7">
        <w:trPr>
          <w:trHeight w:val="290"/>
        </w:trPr>
        <w:tc>
          <w:tcPr>
            <w:tcW w:w="1412" w:type="dxa"/>
            <w:noWrap/>
          </w:tcPr>
          <w:p w14:paraId="67B24755" w14:textId="77777777" w:rsidR="00BF7032" w:rsidRDefault="00BF7032" w:rsidP="00C642F7">
            <w:pPr>
              <w:rPr>
                <w:rFonts w:ascii="Calibri" w:eastAsia="Times New Roman" w:hAnsi="Calibri" w:cs="Calibri"/>
                <w:color w:val="000000"/>
              </w:rPr>
            </w:pPr>
            <w:r>
              <w:rPr>
                <w:rFonts w:ascii="Calibri" w:eastAsia="Times New Roman" w:hAnsi="Calibri" w:cs="Calibri"/>
                <w:color w:val="000000"/>
              </w:rPr>
              <w:t>Below Level 2</w:t>
            </w:r>
          </w:p>
        </w:tc>
        <w:tc>
          <w:tcPr>
            <w:tcW w:w="1288" w:type="dxa"/>
            <w:shd w:val="clear" w:color="auto" w:fill="808080" w:themeFill="background1" w:themeFillShade="80"/>
            <w:noWrap/>
          </w:tcPr>
          <w:p w14:paraId="3D67738D" w14:textId="77777777" w:rsidR="00BF7032" w:rsidRDefault="00BF7032" w:rsidP="00C642F7">
            <w:pPr>
              <w:jc w:val="right"/>
              <w:rPr>
                <w:rFonts w:ascii="Calibri" w:eastAsia="Times New Roman" w:hAnsi="Calibri" w:cs="Calibri"/>
                <w:color w:val="000000"/>
              </w:rPr>
            </w:pPr>
            <w:r>
              <w:rPr>
                <w:rFonts w:ascii="Calibri" w:eastAsia="Times New Roman" w:hAnsi="Calibri" w:cs="Calibri"/>
                <w:color w:val="000000"/>
              </w:rPr>
              <w:t>5%</w:t>
            </w:r>
          </w:p>
        </w:tc>
        <w:tc>
          <w:tcPr>
            <w:tcW w:w="1288" w:type="dxa"/>
            <w:noWrap/>
          </w:tcPr>
          <w:p w14:paraId="44C8C2BC" w14:textId="77777777" w:rsidR="00BF7032" w:rsidRDefault="00BF7032" w:rsidP="00C642F7">
            <w:pPr>
              <w:jc w:val="right"/>
              <w:rPr>
                <w:rFonts w:ascii="Calibri" w:eastAsia="Times New Roman" w:hAnsi="Calibri" w:cs="Calibri"/>
                <w:color w:val="000000"/>
              </w:rPr>
            </w:pPr>
            <w:r>
              <w:rPr>
                <w:rFonts w:ascii="Calibri" w:eastAsia="Times New Roman" w:hAnsi="Calibri" w:cs="Calibri"/>
                <w:color w:val="000000"/>
              </w:rPr>
              <w:t>7%</w:t>
            </w:r>
          </w:p>
        </w:tc>
        <w:tc>
          <w:tcPr>
            <w:tcW w:w="1288" w:type="dxa"/>
            <w:noWrap/>
          </w:tcPr>
          <w:p w14:paraId="64E39052" w14:textId="77777777" w:rsidR="00BF7032" w:rsidRDefault="00BF7032" w:rsidP="00C642F7">
            <w:pPr>
              <w:jc w:val="right"/>
              <w:rPr>
                <w:rFonts w:ascii="Calibri" w:eastAsia="Times New Roman" w:hAnsi="Calibri" w:cs="Calibri"/>
                <w:color w:val="000000"/>
              </w:rPr>
            </w:pPr>
            <w:r>
              <w:rPr>
                <w:rFonts w:ascii="Calibri" w:eastAsia="Times New Roman" w:hAnsi="Calibri" w:cs="Calibri"/>
                <w:color w:val="000000"/>
              </w:rPr>
              <w:t>10%</w:t>
            </w:r>
          </w:p>
        </w:tc>
        <w:tc>
          <w:tcPr>
            <w:tcW w:w="1288" w:type="dxa"/>
            <w:noWrap/>
          </w:tcPr>
          <w:p w14:paraId="09247475" w14:textId="77777777" w:rsidR="00BF7032" w:rsidRDefault="00BF7032" w:rsidP="00C642F7">
            <w:pPr>
              <w:jc w:val="right"/>
              <w:rPr>
                <w:rFonts w:ascii="Calibri" w:eastAsia="Times New Roman" w:hAnsi="Calibri" w:cs="Calibri"/>
                <w:color w:val="000000"/>
              </w:rPr>
            </w:pPr>
            <w:r>
              <w:rPr>
                <w:rFonts w:ascii="Calibri" w:eastAsia="Times New Roman" w:hAnsi="Calibri" w:cs="Calibri"/>
                <w:color w:val="000000"/>
              </w:rPr>
              <w:t>11%</w:t>
            </w:r>
          </w:p>
        </w:tc>
        <w:tc>
          <w:tcPr>
            <w:tcW w:w="1288" w:type="dxa"/>
            <w:noWrap/>
          </w:tcPr>
          <w:p w14:paraId="569457BD" w14:textId="77777777" w:rsidR="00BF7032" w:rsidRDefault="00BF7032" w:rsidP="00C642F7">
            <w:pPr>
              <w:jc w:val="right"/>
              <w:rPr>
                <w:rFonts w:ascii="Calibri" w:eastAsia="Times New Roman" w:hAnsi="Calibri" w:cs="Calibri"/>
                <w:color w:val="000000"/>
              </w:rPr>
            </w:pPr>
            <w:r>
              <w:rPr>
                <w:rFonts w:ascii="Calibri" w:eastAsia="Times New Roman" w:hAnsi="Calibri" w:cs="Calibri"/>
                <w:color w:val="000000"/>
              </w:rPr>
              <w:t>4%</w:t>
            </w:r>
          </w:p>
        </w:tc>
        <w:tc>
          <w:tcPr>
            <w:tcW w:w="960" w:type="dxa"/>
            <w:noWrap/>
          </w:tcPr>
          <w:p w14:paraId="13F6C016" w14:textId="77777777" w:rsidR="00BF7032" w:rsidRDefault="00BF7032" w:rsidP="00C642F7">
            <w:pPr>
              <w:jc w:val="right"/>
              <w:rPr>
                <w:rFonts w:ascii="Calibri" w:eastAsia="Times New Roman" w:hAnsi="Calibri" w:cs="Calibri"/>
                <w:color w:val="000000"/>
              </w:rPr>
            </w:pPr>
            <w:r>
              <w:rPr>
                <w:rFonts w:ascii="Calibri" w:eastAsia="Times New Roman" w:hAnsi="Calibri" w:cs="Calibri"/>
                <w:color w:val="000000"/>
              </w:rPr>
              <w:t>6%</w:t>
            </w:r>
          </w:p>
        </w:tc>
      </w:tr>
    </w:tbl>
    <w:p w14:paraId="6725BD32" w14:textId="77777777" w:rsidR="00BF7032" w:rsidRDefault="00BF7032" w:rsidP="00BF7032"/>
    <w:p w14:paraId="2DD81D2D" w14:textId="24360C50" w:rsidR="00BF7032" w:rsidRDefault="00BF7032" w:rsidP="00BF7032">
      <w:r w:rsidRPr="006366DB">
        <w:t xml:space="preserve">Unemployment is not evenly distributed. </w:t>
      </w:r>
      <w:bookmarkStart w:id="0" w:name="_Hlk67157467"/>
      <w:r w:rsidRPr="006366DB">
        <w:t xml:space="preserve">It is concentrated in areas with highest levels of poverty. 40% of people on out of work benefits live in the 20% most deprived neighbourhoods. </w:t>
      </w:r>
      <w:sdt>
        <w:sdtPr>
          <w:id w:val="-127703217"/>
          <w:citation/>
        </w:sdtPr>
        <w:sdtEndPr/>
        <w:sdtContent>
          <w:r w:rsidR="00303CF7" w:rsidRPr="006366DB">
            <w:fldChar w:fldCharType="begin"/>
          </w:r>
          <w:r w:rsidR="0064463A">
            <w:instrText xml:space="preserve">CITATION HMG10 \l 2057 </w:instrText>
          </w:r>
          <w:r w:rsidR="00303CF7" w:rsidRPr="006366DB">
            <w:fldChar w:fldCharType="separate"/>
          </w:r>
          <w:r w:rsidR="00FF6A5B">
            <w:rPr>
              <w:noProof/>
            </w:rPr>
            <w:t>(HM Government b, 2010)</w:t>
          </w:r>
          <w:r w:rsidR="00303CF7" w:rsidRPr="006366DB">
            <w:fldChar w:fldCharType="end"/>
          </w:r>
        </w:sdtContent>
      </w:sdt>
      <w:r w:rsidRPr="006366DB">
        <w:t xml:space="preserve"> Table 7 Highlights the </w:t>
      </w:r>
      <w:bookmarkEnd w:id="0"/>
      <w:r w:rsidRPr="006366DB">
        <w:t xml:space="preserve">way disadvantage is compounded by ethnic background, and lack of educational attainment. The model shows Dyslexia further amplifies the risk of unemployment by a factor of at least four. This would mean dyslexic people from some </w:t>
      </w:r>
      <w:proofErr w:type="gramStart"/>
      <w:r w:rsidRPr="006366DB">
        <w:t>ethnic</w:t>
      </w:r>
      <w:r w:rsidR="006366DB">
        <w:t xml:space="preserve"> </w:t>
      </w:r>
      <w:r>
        <w:t xml:space="preserve"> backgrounds</w:t>
      </w:r>
      <w:proofErr w:type="gramEnd"/>
      <w:r>
        <w:t>, who live in the most deprived neighbourhoods and do not hold level two qualifications, will face unemployment rates of over 40%.</w:t>
      </w:r>
    </w:p>
    <w:p w14:paraId="27BB9A93" w14:textId="77717459" w:rsidR="006449F6" w:rsidRPr="006449F6" w:rsidRDefault="006449F6" w:rsidP="00BF7032">
      <w:pPr>
        <w:rPr>
          <w:b/>
          <w:bCs/>
        </w:rPr>
      </w:pPr>
      <w:r w:rsidRPr="006449F6">
        <w:rPr>
          <w:b/>
          <w:bCs/>
        </w:rPr>
        <w:t>Conclusion</w:t>
      </w:r>
    </w:p>
    <w:p w14:paraId="56E42468" w14:textId="637613B0" w:rsidR="00BF7032" w:rsidRDefault="00BF7032" w:rsidP="00BF7032">
      <w:r>
        <w:t xml:space="preserve">Professor Kirby </w:t>
      </w:r>
      <w:sdt>
        <w:sdtPr>
          <w:id w:val="842055256"/>
          <w:citation/>
        </w:sdtPr>
        <w:sdtEndPr/>
        <w:sdtContent>
          <w:r w:rsidR="006C62AF">
            <w:fldChar w:fldCharType="begin"/>
          </w:r>
          <w:r w:rsidR="006366DB">
            <w:instrText xml:space="preserve">CITATION Pro21 \l 2057 </w:instrText>
          </w:r>
          <w:r w:rsidR="006C62AF">
            <w:fldChar w:fldCharType="separate"/>
          </w:r>
          <w:r w:rsidR="00FF6A5B">
            <w:rPr>
              <w:noProof/>
            </w:rPr>
            <w:t>(Kirby, A Salutary Tale Of Two Neuro-Diverse, and Socially Diverse, Boys - Teaching Times , 2021)</w:t>
          </w:r>
          <w:r w:rsidR="006C62AF">
            <w:fldChar w:fldCharType="end"/>
          </w:r>
        </w:sdtContent>
      </w:sdt>
      <w:r w:rsidR="00BA3131">
        <w:t xml:space="preserve"> </w:t>
      </w:r>
      <w:sdt>
        <w:sdtPr>
          <w:id w:val="400870440"/>
          <w:citation/>
        </w:sdtPr>
        <w:sdtEndPr/>
        <w:sdtContent>
          <w:r w:rsidR="00BA3131">
            <w:fldChar w:fldCharType="begin"/>
          </w:r>
          <w:r w:rsidR="00BA3131">
            <w:instrText xml:space="preserve">CITATION Kir18 \l 2057 </w:instrText>
          </w:r>
          <w:r w:rsidR="00BA3131">
            <w:fldChar w:fldCharType="separate"/>
          </w:r>
          <w:r w:rsidR="00FF6A5B">
            <w:rPr>
              <w:noProof/>
            </w:rPr>
            <w:t>(Kirby &amp; Cleaton , 2018)</w:t>
          </w:r>
          <w:r w:rsidR="00BA3131">
            <w:fldChar w:fldCharType="end"/>
          </w:r>
        </w:sdtContent>
      </w:sdt>
      <w:r w:rsidR="00BA3131">
        <w:t xml:space="preserve"> </w:t>
      </w:r>
      <w:r>
        <w:t xml:space="preserve">rightly argues people living in the communities most likely to be disadvantaged by unemployment should be screened for neurodivergence at primary school. This would reduce the individual’s risk of unemployment and yield life cycle savings to society. </w:t>
      </w:r>
      <w:sdt>
        <w:sdtPr>
          <w:id w:val="-1231528880"/>
          <w:citation/>
        </w:sdtPr>
        <w:sdtEndPr/>
        <w:sdtContent>
          <w:r>
            <w:fldChar w:fldCharType="begin"/>
          </w:r>
          <w:r w:rsidR="00BA3131">
            <w:instrText xml:space="preserve">CITATION BBC9a \l 2057 </w:instrText>
          </w:r>
          <w:r>
            <w:fldChar w:fldCharType="separate"/>
          </w:r>
          <w:r w:rsidR="00FF6A5B">
            <w:rPr>
              <w:noProof/>
            </w:rPr>
            <w:t xml:space="preserve">(BBC </w:t>
          </w:r>
          <w:r w:rsidR="00FF6A5B">
            <w:rPr>
              <w:noProof/>
            </w:rPr>
            <w:lastRenderedPageBreak/>
            <w:t>NEWS, 2019a)</w:t>
          </w:r>
          <w:r>
            <w:fldChar w:fldCharType="end"/>
          </w:r>
        </w:sdtContent>
      </w:sdt>
      <w:r>
        <w:t xml:space="preserve">  Similarly, Job Centre plus staff need to be trained to recognise the disproportionate number of unassessed Neurodivergent People, who will seek their support. </w:t>
      </w:r>
    </w:p>
    <w:p w14:paraId="09559A8D" w14:textId="5C161691" w:rsidR="00BF7032" w:rsidRDefault="00BF7032" w:rsidP="000D05C4">
      <w:pPr>
        <w:pStyle w:val="Heading2"/>
      </w:pPr>
      <w:r>
        <w:t xml:space="preserve">4.5 </w:t>
      </w:r>
      <w:r w:rsidR="000D05C4">
        <w:t>–</w:t>
      </w:r>
      <w:r>
        <w:t xml:space="preserve"> Data</w:t>
      </w:r>
    </w:p>
    <w:p w14:paraId="0D460E83" w14:textId="77777777" w:rsidR="000D05C4" w:rsidRPr="000D05C4" w:rsidRDefault="000D05C4" w:rsidP="000D05C4"/>
    <w:p w14:paraId="36DAF5A4" w14:textId="77777777" w:rsidR="00AE3482" w:rsidRDefault="00BF7032" w:rsidP="00BF7032">
      <w:r w:rsidRPr="00BA3131">
        <w:t xml:space="preserve">This article uses data generated by a model. This data illustrates likely </w:t>
      </w:r>
      <w:proofErr w:type="gramStart"/>
      <w:r w:rsidRPr="00BA3131">
        <w:t>trends, but</w:t>
      </w:r>
      <w:proofErr w:type="gramEnd"/>
      <w:r w:rsidRPr="00BA3131">
        <w:t xml:space="preserve"> is not good enough to allow for academically valid statistical comparisons to be made, relating to all the changes </w:t>
      </w:r>
      <w:r w:rsidR="0064463A" w:rsidRPr="00BA3131">
        <w:t>in modes</w:t>
      </w:r>
      <w:r w:rsidRPr="00BA3131">
        <w:t xml:space="preserve"> of employment, experienced by dyslexic people over the last 50 years</w:t>
      </w:r>
      <w:r w:rsidRPr="00437F1A">
        <w:t>.  I used</w:t>
      </w:r>
      <w:r>
        <w:t xml:space="preserve"> the model because little, actual data exists relating to the way dyslexic people are employed. Dyslexic or more generally neurodivergent people form the largest group of permanently disabled people who move in and out of employment. </w:t>
      </w:r>
      <w:sdt>
        <w:sdtPr>
          <w:id w:val="-340086508"/>
          <w:citation/>
        </w:sdtPr>
        <w:sdtEndPr/>
        <w:sdtContent>
          <w:r>
            <w:fldChar w:fldCharType="begin"/>
          </w:r>
          <w:r w:rsidR="0064463A">
            <w:instrText xml:space="preserve">CITATION Hou2c \l 2057 </w:instrText>
          </w:r>
          <w:r>
            <w:fldChar w:fldCharType="separate"/>
          </w:r>
          <w:r w:rsidR="00FF6A5B">
            <w:rPr>
              <w:noProof/>
            </w:rPr>
            <w:t>(DWP &amp; Department for Health , 2016)</w:t>
          </w:r>
          <w:r>
            <w:fldChar w:fldCharType="end"/>
          </w:r>
        </w:sdtContent>
      </w:sdt>
      <w:r>
        <w:t xml:space="preserve"> </w:t>
      </w:r>
      <w:r w:rsidR="00303CF7">
        <w:t>&amp;</w:t>
      </w:r>
      <w:sdt>
        <w:sdtPr>
          <w:id w:val="-1974750150"/>
          <w:citation/>
        </w:sdtPr>
        <w:sdtEndPr/>
        <w:sdtContent>
          <w:r w:rsidR="00022D14">
            <w:fldChar w:fldCharType="begin"/>
          </w:r>
          <w:r w:rsidR="00022D14">
            <w:instrText xml:space="preserve"> CITATION ACA21 \l 2057 </w:instrText>
          </w:r>
          <w:r w:rsidR="00022D14">
            <w:fldChar w:fldCharType="separate"/>
          </w:r>
          <w:r w:rsidR="00FF6A5B">
            <w:rPr>
              <w:noProof/>
            </w:rPr>
            <w:t xml:space="preserve"> (ACAS, Achived 2021)</w:t>
          </w:r>
          <w:r w:rsidR="00022D14">
            <w:fldChar w:fldCharType="end"/>
          </w:r>
        </w:sdtContent>
      </w:sdt>
      <w:r w:rsidR="00303CF7">
        <w:rPr>
          <w:rStyle w:val="FootnoteReference"/>
        </w:rPr>
        <w:footnoteReference w:id="1"/>
      </w:r>
      <w:r>
        <w:t xml:space="preserve"> </w:t>
      </w:r>
    </w:p>
    <w:p w14:paraId="0B2D1F59" w14:textId="77777777" w:rsidR="00AE3482" w:rsidRDefault="00AE3482" w:rsidP="00BF7032"/>
    <w:p w14:paraId="5D6539A2" w14:textId="77777777" w:rsidR="00AE3482" w:rsidRPr="007E4B63" w:rsidRDefault="00AE3482" w:rsidP="00BF7032">
      <w:pPr>
        <w:rPr>
          <w:b/>
          <w:bCs/>
        </w:rPr>
      </w:pPr>
      <w:r w:rsidRPr="007E4B63">
        <w:rPr>
          <w:b/>
          <w:bCs/>
        </w:rPr>
        <w:t xml:space="preserve">Conclusion </w:t>
      </w:r>
    </w:p>
    <w:p w14:paraId="6AF0DA41" w14:textId="35FCE430" w:rsidR="00BF7032" w:rsidRDefault="00BF7032" w:rsidP="00BF7032">
      <w:r>
        <w:t xml:space="preserve">Better data would lead to better policy. Data relating to the incidence of dyslexia in deprived neighbourhoods and among people from minority ethnic backgrounds is particularly weak and unconvincing. Many studies quote that 40% of unemployed people exhibit dyslexic traits but have not been formally assessed. </w:t>
      </w:r>
      <w:r w:rsidR="00022D14">
        <w:t xml:space="preserve"> (</w:t>
      </w:r>
      <w:sdt>
        <w:sdtPr>
          <w:id w:val="-1737855570"/>
          <w:citation/>
        </w:sdtPr>
        <w:sdtEndPr/>
        <w:sdtContent>
          <w:r w:rsidR="00022D14">
            <w:fldChar w:fldCharType="begin"/>
          </w:r>
          <w:r w:rsidR="00022D14">
            <w:instrText xml:space="preserve"> CITATION Wor12 \l 2057 </w:instrText>
          </w:r>
          <w:r w:rsidR="00022D14">
            <w:fldChar w:fldCharType="separate"/>
          </w:r>
          <w:r w:rsidR="00FF6A5B">
            <w:rPr>
              <w:noProof/>
            </w:rPr>
            <w:t xml:space="preserve"> (Work and Pensions Committee UK parliament , 2012)</w:t>
          </w:r>
          <w:r w:rsidR="00022D14">
            <w:fldChar w:fldCharType="end"/>
          </w:r>
        </w:sdtContent>
      </w:sdt>
      <w:r>
        <w:rPr>
          <w:rStyle w:val="EndnoteReference"/>
        </w:rPr>
        <w:endnoteReference w:id="2"/>
      </w:r>
      <w:r>
        <w:t xml:space="preserve"> It is also known 40% of unemployed people live in the 20% most deprived neighbourhoods.</w:t>
      </w:r>
      <w:r w:rsidR="0064463A">
        <w:t xml:space="preserve"> </w:t>
      </w:r>
      <w:sdt>
        <w:sdtPr>
          <w:id w:val="-888571893"/>
          <w:citation/>
        </w:sdtPr>
        <w:sdtEndPr/>
        <w:sdtContent>
          <w:r w:rsidR="0064463A">
            <w:fldChar w:fldCharType="begin"/>
          </w:r>
          <w:r w:rsidR="0064463A">
            <w:instrText xml:space="preserve">CITATION HMG10 \l 2057 </w:instrText>
          </w:r>
          <w:r w:rsidR="0064463A">
            <w:fldChar w:fldCharType="separate"/>
          </w:r>
          <w:r w:rsidR="00FF6A5B">
            <w:rPr>
              <w:noProof/>
            </w:rPr>
            <w:t>(HM Government b, 2010)</w:t>
          </w:r>
          <w:r w:rsidR="0064463A">
            <w:fldChar w:fldCharType="end"/>
          </w:r>
        </w:sdtContent>
      </w:sdt>
      <w:r>
        <w:t xml:space="preserve">  It is therefore surprising we do not know how many dyslexic people live in these communities. The Joseph Roundtree Trust reported that the recorded apparent incidence of dyslexia is higher in more affluent communities. They go onto suggest this may be because of underassessment in deprived communities. </w:t>
      </w:r>
      <w:sdt>
        <w:sdtPr>
          <w:id w:val="-242723038"/>
          <w:citation/>
        </w:sdtPr>
        <w:sdtEndPr/>
        <w:sdtContent>
          <w:r>
            <w:fldChar w:fldCharType="begin"/>
          </w:r>
          <w:r w:rsidR="00437F1A">
            <w:instrText xml:space="preserve">CITATION Jos171 \l 2057 </w:instrText>
          </w:r>
          <w:r>
            <w:fldChar w:fldCharType="separate"/>
          </w:r>
          <w:r w:rsidR="00FF6A5B">
            <w:rPr>
              <w:noProof/>
            </w:rPr>
            <w:t>(Joseph Roundtree Foundation p9; p17, 2016)</w:t>
          </w:r>
          <w:r>
            <w:fldChar w:fldCharType="end"/>
          </w:r>
        </w:sdtContent>
      </w:sdt>
      <w:r>
        <w:t xml:space="preserve"> Similarly, Professor Kirby has drawn attention to the lack of research relating to the incidence of dyslexia, or more importantly the assessment of dyslexia in minority communities </w:t>
      </w:r>
      <w:sdt>
        <w:sdtPr>
          <w:id w:val="-797290079"/>
          <w:citation/>
        </w:sdtPr>
        <w:sdtEndPr/>
        <w:sdtContent>
          <w:r>
            <w:fldChar w:fldCharType="begin"/>
          </w:r>
          <w:r w:rsidR="00DD4D07">
            <w:instrText xml:space="preserve">CITATION Pro20 \l 2057 </w:instrText>
          </w:r>
          <w:r>
            <w:fldChar w:fldCharType="separate"/>
          </w:r>
          <w:r w:rsidR="00FF6A5B">
            <w:rPr>
              <w:noProof/>
            </w:rPr>
            <w:t>(Kirby, Neurodiversity 101 Ethnicity Do It Profiler, 2020)</w:t>
          </w:r>
          <w:r>
            <w:fldChar w:fldCharType="end"/>
          </w:r>
        </w:sdtContent>
      </w:sdt>
      <w:r>
        <w:t>.</w:t>
      </w:r>
      <w:r w:rsidR="00044E55">
        <w:t xml:space="preserve"> We need to </w:t>
      </w:r>
      <w:r w:rsidR="007E4B63">
        <w:t>plug</w:t>
      </w:r>
      <w:r w:rsidR="00044E55">
        <w:t xml:space="preserve"> these </w:t>
      </w:r>
      <w:r w:rsidR="007E4B63">
        <w:t xml:space="preserve">gaps in the evidence </w:t>
      </w:r>
      <w:proofErr w:type="gramStart"/>
      <w:r w:rsidR="007E4B63">
        <w:t>base .</w:t>
      </w:r>
      <w:proofErr w:type="gramEnd"/>
      <w:r w:rsidR="007E4B63">
        <w:t xml:space="preserve"> </w:t>
      </w:r>
    </w:p>
    <w:p w14:paraId="34F1E3C1" w14:textId="77777777" w:rsidR="00BF7032" w:rsidRDefault="00BF7032" w:rsidP="000D05C4">
      <w:pPr>
        <w:pStyle w:val="Heading2"/>
      </w:pPr>
      <w:r>
        <w:t>4.6 - The future</w:t>
      </w:r>
    </w:p>
    <w:p w14:paraId="528C90BA" w14:textId="77777777" w:rsidR="00F25AF0" w:rsidRPr="00F25AF0" w:rsidRDefault="00F25AF0" w:rsidP="00F25AF0"/>
    <w:p w14:paraId="1FACE2BC" w14:textId="77777777" w:rsidR="00CF1F5B" w:rsidRDefault="00BF7032" w:rsidP="00BF7032">
      <w:r w:rsidRPr="0064463A">
        <w:t xml:space="preserve">It is tempting to hope Dyslexic and Neurodivergent people will be welcomed back into mainstream employment by 2070.  Technology will reduce the dominance of written communication. A talent hungry knowledge economy needs the creative abilities of the neurodivergent mind. Green and new craft businesses should provide more opportunities for everyone to gain employment by following their passion. </w:t>
      </w:r>
    </w:p>
    <w:p w14:paraId="460EFD7D" w14:textId="77777777" w:rsidR="00FE5AEF" w:rsidRDefault="00BF7032" w:rsidP="00BF7032">
      <w:r w:rsidRPr="0064463A">
        <w:t xml:space="preserve">The future jobs report suggests this is not inevitable. The growth of AI could enable corporate employers to continue to marginalise employees who don’t fit in, People in </w:t>
      </w:r>
      <w:r w:rsidR="00DD4D07" w:rsidRPr="0064463A">
        <w:t>non-professional</w:t>
      </w:r>
      <w:r w:rsidRPr="0064463A">
        <w:t xml:space="preserve"> and managerial occupation may face increased job insecurity </w:t>
      </w:r>
      <w:sdt>
        <w:sdtPr>
          <w:id w:val="-822190383"/>
          <w:citation/>
        </w:sdtPr>
        <w:sdtEndPr/>
        <w:sdtContent>
          <w:r w:rsidR="006C62AF" w:rsidRPr="0064463A">
            <w:fldChar w:fldCharType="begin"/>
          </w:r>
          <w:r w:rsidR="00022D14" w:rsidRPr="0064463A">
            <w:instrText xml:space="preserve">CITATION UKC14 \l 2057 </w:instrText>
          </w:r>
          <w:r w:rsidR="006C62AF" w:rsidRPr="0064463A">
            <w:fldChar w:fldCharType="separate"/>
          </w:r>
          <w:r w:rsidR="00FF6A5B">
            <w:rPr>
              <w:noProof/>
            </w:rPr>
            <w:t>(UK Commission for Employment and Skills , 2014)</w:t>
          </w:r>
          <w:r w:rsidR="006C62AF" w:rsidRPr="0064463A">
            <w:fldChar w:fldCharType="end"/>
          </w:r>
        </w:sdtContent>
      </w:sdt>
      <w:r w:rsidR="00DD4D07">
        <w:t xml:space="preserve"> </w:t>
      </w:r>
    </w:p>
    <w:p w14:paraId="7A8BD6CF" w14:textId="22CB8A56" w:rsidR="00FE5AEF" w:rsidRPr="00FE5AEF" w:rsidRDefault="00FE5AEF" w:rsidP="00BF7032">
      <w:pPr>
        <w:rPr>
          <w:b/>
          <w:bCs/>
        </w:rPr>
      </w:pPr>
      <w:r w:rsidRPr="00FE5AEF">
        <w:rPr>
          <w:b/>
          <w:bCs/>
        </w:rPr>
        <w:t>Conclusion</w:t>
      </w:r>
    </w:p>
    <w:p w14:paraId="2D834C51" w14:textId="409598AD" w:rsidR="00562E25" w:rsidRDefault="00BF7032" w:rsidP="00BF7032">
      <w:r w:rsidRPr="0064463A">
        <w:lastRenderedPageBreak/>
        <w:t xml:space="preserve">Dyslexic and Neurodivergent people throughout their lives, therefore, need to be able to access catalytic support which releases their potential. This support should be designed to help them take ownership of their skills and shape employment pathways which do not rely on </w:t>
      </w:r>
      <w:r w:rsidR="00DD4D07" w:rsidRPr="0064463A">
        <w:t>corporate employers</w:t>
      </w:r>
      <w:r w:rsidRPr="0064463A">
        <w:t>.</w:t>
      </w:r>
    </w:p>
    <w:p w14:paraId="38398660" w14:textId="77777777" w:rsidR="00562E25" w:rsidRDefault="00562E25">
      <w:r>
        <w:br w:type="page"/>
      </w:r>
    </w:p>
    <w:p w14:paraId="07C9E5C3" w14:textId="77777777" w:rsidR="00BF7032" w:rsidRDefault="00BF7032" w:rsidP="00BF7032"/>
    <w:sdt>
      <w:sdtPr>
        <w:rPr>
          <w:rFonts w:asciiTheme="minorHAnsi" w:eastAsiaTheme="minorHAnsi" w:hAnsiTheme="minorHAnsi" w:cstheme="minorBidi"/>
          <w:color w:val="auto"/>
          <w:sz w:val="22"/>
          <w:szCs w:val="22"/>
          <w:lang w:val="en-GB"/>
        </w:rPr>
        <w:id w:val="831715487"/>
        <w:docPartObj>
          <w:docPartGallery w:val="Bibliographies"/>
          <w:docPartUnique/>
        </w:docPartObj>
      </w:sdtPr>
      <w:sdtEndPr/>
      <w:sdtContent>
        <w:p w14:paraId="2F9B3754" w14:textId="57D118E5" w:rsidR="00022D14" w:rsidRDefault="00022D14">
          <w:pPr>
            <w:pStyle w:val="Heading1"/>
          </w:pPr>
          <w:r>
            <w:t>Bibliography</w:t>
          </w:r>
        </w:p>
        <w:p w14:paraId="0BB4FCCF" w14:textId="77777777" w:rsidR="00DD4D07" w:rsidRPr="00DD4D07" w:rsidRDefault="00DD4D07" w:rsidP="00DD4D07">
          <w:pPr>
            <w:rPr>
              <w:lang w:val="en-US"/>
            </w:rPr>
          </w:pPr>
        </w:p>
        <w:sdt>
          <w:sdtPr>
            <w:id w:val="111145805"/>
            <w:bibliography/>
          </w:sdtPr>
          <w:sdtEndPr/>
          <w:sdtContent>
            <w:p w14:paraId="1543516E" w14:textId="77777777" w:rsidR="00FF6A5B" w:rsidRDefault="00022D14" w:rsidP="00FF6A5B">
              <w:pPr>
                <w:pStyle w:val="Bibliography"/>
                <w:ind w:left="720" w:hanging="720"/>
                <w:rPr>
                  <w:noProof/>
                  <w:sz w:val="24"/>
                  <w:szCs w:val="24"/>
                  <w:lang w:val="en-US"/>
                </w:rPr>
              </w:pPr>
              <w:r>
                <w:fldChar w:fldCharType="begin"/>
              </w:r>
              <w:r>
                <w:instrText xml:space="preserve"> BIBLIOGRAPHY </w:instrText>
              </w:r>
              <w:r>
                <w:fldChar w:fldCharType="separate"/>
              </w:r>
              <w:r w:rsidR="00FF6A5B">
                <w:rPr>
                  <w:noProof/>
                  <w:lang w:val="en-US"/>
                </w:rPr>
                <w:t xml:space="preserve">ACAS. (Achived 2021). </w:t>
              </w:r>
              <w:r w:rsidR="00FF6A5B">
                <w:rPr>
                  <w:i/>
                  <w:iCs/>
                  <w:noProof/>
                  <w:lang w:val="en-US"/>
                </w:rPr>
                <w:t xml:space="preserve">Neurodiversity at work </w:t>
              </w:r>
              <w:r w:rsidR="00FF6A5B">
                <w:rPr>
                  <w:noProof/>
                  <w:lang w:val="en-US"/>
                </w:rPr>
                <w:t>. Retrieved from https://webarchive.nationalarchives.gov.uk/ukgwa/20210104113255/https://archive.acas.org.uk/index.aspx?articleid=6676</w:t>
              </w:r>
            </w:p>
            <w:p w14:paraId="52979684" w14:textId="77777777" w:rsidR="00FF6A5B" w:rsidRDefault="00FF6A5B" w:rsidP="00FF6A5B">
              <w:pPr>
                <w:pStyle w:val="Bibliography"/>
                <w:ind w:left="720" w:hanging="720"/>
                <w:rPr>
                  <w:noProof/>
                  <w:lang w:val="en-US"/>
                </w:rPr>
              </w:pPr>
              <w:r>
                <w:rPr>
                  <w:noProof/>
                  <w:lang w:val="en-US"/>
                </w:rPr>
                <w:t xml:space="preserve">Achievability. (2017). </w:t>
              </w:r>
              <w:r>
                <w:rPr>
                  <w:i/>
                  <w:iCs/>
                  <w:noProof/>
                  <w:lang w:val="en-US"/>
                </w:rPr>
                <w:t>Achievability Westminster Commission Opening Doors to Employent</w:t>
              </w:r>
              <w:r>
                <w:rPr>
                  <w:noProof/>
                  <w:lang w:val="en-US"/>
                </w:rPr>
                <w:t>. Retrieved September 18, 2021, from https://www.achieveability.org.uk/files/1518955206/wac-report_2017_interactive-2.pdf</w:t>
              </w:r>
            </w:p>
            <w:p w14:paraId="1C763094" w14:textId="77777777" w:rsidR="00FF6A5B" w:rsidRDefault="00FF6A5B" w:rsidP="00FF6A5B">
              <w:pPr>
                <w:pStyle w:val="Bibliography"/>
                <w:ind w:left="720" w:hanging="720"/>
                <w:rPr>
                  <w:noProof/>
                  <w:lang w:val="en-US"/>
                </w:rPr>
              </w:pPr>
              <w:r>
                <w:rPr>
                  <w:noProof/>
                  <w:lang w:val="en-US"/>
                </w:rPr>
                <w:t xml:space="preserve">BBC News. (2019). </w:t>
              </w:r>
              <w:r>
                <w:rPr>
                  <w:i/>
                  <w:iCs/>
                  <w:noProof/>
                  <w:lang w:val="en-US"/>
                </w:rPr>
                <w:t>The Symbolic Target of 50% at University</w:t>
              </w:r>
              <w:r>
                <w:rPr>
                  <w:noProof/>
                  <w:lang w:val="en-US"/>
                </w:rPr>
                <w:t>. Retrieved September 18, 2021, from https://www.bbc.co.uk/news/education-49841620#.~.text=The%20proportion%20of%20young%20people,to%20go%20into%20higher%20education</w:t>
              </w:r>
            </w:p>
            <w:p w14:paraId="7D326372" w14:textId="77777777" w:rsidR="00FF6A5B" w:rsidRDefault="00FF6A5B" w:rsidP="00FF6A5B">
              <w:pPr>
                <w:pStyle w:val="Bibliography"/>
                <w:ind w:left="720" w:hanging="720"/>
                <w:rPr>
                  <w:noProof/>
                  <w:lang w:val="en-US"/>
                </w:rPr>
              </w:pPr>
              <w:r>
                <w:rPr>
                  <w:noProof/>
                  <w:lang w:val="en-US"/>
                </w:rPr>
                <w:t xml:space="preserve">BBC NEWS. (2019a). </w:t>
              </w:r>
              <w:r>
                <w:rPr>
                  <w:i/>
                  <w:iCs/>
                  <w:noProof/>
                  <w:lang w:val="en-US"/>
                </w:rPr>
                <w:t>We Need to talk about dyslexia at work</w:t>
              </w:r>
              <w:r>
                <w:rPr>
                  <w:noProof/>
                  <w:lang w:val="en-US"/>
                </w:rPr>
                <w:t>. Retrieved September 18, 2021, from https://www.bbc.com/worklife/article/20190702-we-need-to-talk-about-dyslexia-at-work</w:t>
              </w:r>
            </w:p>
            <w:p w14:paraId="111E09C6" w14:textId="77777777" w:rsidR="00FF6A5B" w:rsidRDefault="00FF6A5B" w:rsidP="00FF6A5B">
              <w:pPr>
                <w:pStyle w:val="Bibliography"/>
                <w:ind w:left="720" w:hanging="720"/>
                <w:rPr>
                  <w:noProof/>
                  <w:lang w:val="en-US"/>
                </w:rPr>
              </w:pPr>
              <w:r>
                <w:rPr>
                  <w:noProof/>
                  <w:lang w:val="en-US"/>
                </w:rPr>
                <w:t xml:space="preserve">BIMA. (2019). </w:t>
              </w:r>
              <w:r>
                <w:rPr>
                  <w:i/>
                  <w:iCs/>
                  <w:noProof/>
                  <w:lang w:val="en-US"/>
                </w:rPr>
                <w:t>Tech Inclusion and Diversity Report .</w:t>
              </w:r>
              <w:r>
                <w:rPr>
                  <w:noProof/>
                  <w:lang w:val="en-US"/>
                </w:rPr>
                <w:t xml:space="preserve"> Retrieved September 18, 2021, from https://bima.co.uk/wp-content/uploads/2020/01/BIMA-Tech-Inclusion-and-Diversity-Report-2019.pdf</w:t>
              </w:r>
            </w:p>
            <w:p w14:paraId="4869A00F" w14:textId="77777777" w:rsidR="00FF6A5B" w:rsidRDefault="00FF6A5B" w:rsidP="00FF6A5B">
              <w:pPr>
                <w:pStyle w:val="Bibliography"/>
                <w:ind w:left="720" w:hanging="720"/>
                <w:rPr>
                  <w:noProof/>
                  <w:lang w:val="en-US"/>
                </w:rPr>
              </w:pPr>
              <w:r>
                <w:rPr>
                  <w:noProof/>
                  <w:lang w:val="en-US"/>
                </w:rPr>
                <w:t xml:space="preserve">Careermap. (2021). </w:t>
              </w:r>
              <w:r>
                <w:rPr>
                  <w:i/>
                  <w:iCs/>
                  <w:noProof/>
                  <w:lang w:val="en-US"/>
                </w:rPr>
                <w:t>Apprenticeships Options for your Future Career - Can I get an Apprenticeship without any qualifications?</w:t>
              </w:r>
              <w:r>
                <w:rPr>
                  <w:noProof/>
                  <w:lang w:val="en-US"/>
                </w:rPr>
                <w:t xml:space="preserve"> Retrieved September 18, 2021, from https://careermap.co. uk/can-get-apprenticeship-without-qualifications/</w:t>
              </w:r>
            </w:p>
            <w:p w14:paraId="172E42F5" w14:textId="77777777" w:rsidR="00FF6A5B" w:rsidRDefault="00FF6A5B" w:rsidP="00FF6A5B">
              <w:pPr>
                <w:pStyle w:val="Bibliography"/>
                <w:ind w:left="720" w:hanging="720"/>
                <w:rPr>
                  <w:noProof/>
                  <w:lang w:val="en-US"/>
                </w:rPr>
              </w:pPr>
              <w:r>
                <w:rPr>
                  <w:noProof/>
                  <w:lang w:val="en-US"/>
                </w:rPr>
                <w:t xml:space="preserve">Commons, H. o. (2012a). </w:t>
              </w:r>
              <w:r>
                <w:rPr>
                  <w:i/>
                  <w:iCs/>
                  <w:noProof/>
                  <w:lang w:val="en-US"/>
                </w:rPr>
                <w:t>Education Historical Statistics House of Commons Library.</w:t>
              </w:r>
              <w:r>
                <w:rPr>
                  <w:noProof/>
                  <w:lang w:val="en-US"/>
                </w:rPr>
                <w:t xml:space="preserve"> </w:t>
              </w:r>
            </w:p>
            <w:p w14:paraId="64CB6CDF" w14:textId="77777777" w:rsidR="00FF6A5B" w:rsidRDefault="00FF6A5B" w:rsidP="00FF6A5B">
              <w:pPr>
                <w:pStyle w:val="Bibliography"/>
                <w:ind w:left="720" w:hanging="720"/>
                <w:rPr>
                  <w:noProof/>
                  <w:lang w:val="en-US"/>
                </w:rPr>
              </w:pPr>
              <w:r>
                <w:rPr>
                  <w:noProof/>
                  <w:lang w:val="en-US"/>
                </w:rPr>
                <w:t xml:space="preserve">Creative Industries Federation. (2017). </w:t>
              </w:r>
              <w:r>
                <w:rPr>
                  <w:i/>
                  <w:iCs/>
                  <w:noProof/>
                  <w:lang w:val="en-US"/>
                </w:rPr>
                <w:t>Creative Freelancers Report .</w:t>
              </w:r>
              <w:r>
                <w:rPr>
                  <w:noProof/>
                  <w:lang w:val="en-US"/>
                </w:rPr>
                <w:t xml:space="preserve"> Retrieved September 18, 2021, from https://www.creativeindustriesfederation.com/publications/creative-freelancers</w:t>
              </w:r>
            </w:p>
            <w:p w14:paraId="6B1C85DE" w14:textId="77777777" w:rsidR="00FF6A5B" w:rsidRDefault="00FF6A5B" w:rsidP="00FF6A5B">
              <w:pPr>
                <w:pStyle w:val="Bibliography"/>
                <w:ind w:left="720" w:hanging="720"/>
                <w:rPr>
                  <w:noProof/>
                  <w:lang w:val="en-US"/>
                </w:rPr>
              </w:pPr>
              <w:r>
                <w:rPr>
                  <w:noProof/>
                  <w:lang w:val="en-US"/>
                </w:rPr>
                <w:t xml:space="preserve">Critchley, M. (1970; p91). </w:t>
              </w:r>
              <w:r>
                <w:rPr>
                  <w:i/>
                  <w:iCs/>
                  <w:noProof/>
                  <w:lang w:val="en-US"/>
                </w:rPr>
                <w:t>The Dyslexic Child</w:t>
              </w:r>
              <w:r>
                <w:rPr>
                  <w:noProof/>
                  <w:lang w:val="en-US"/>
                </w:rPr>
                <w:t xml:space="preserve"> (2nd ed.). Heinemann.</w:t>
              </w:r>
            </w:p>
            <w:p w14:paraId="40489434" w14:textId="77777777" w:rsidR="00FF6A5B" w:rsidRDefault="00FF6A5B" w:rsidP="00FF6A5B">
              <w:pPr>
                <w:pStyle w:val="Bibliography"/>
                <w:ind w:left="720" w:hanging="720"/>
                <w:rPr>
                  <w:noProof/>
                  <w:lang w:val="en-US"/>
                </w:rPr>
              </w:pPr>
              <w:r>
                <w:rPr>
                  <w:noProof/>
                  <w:lang w:val="en-US"/>
                </w:rPr>
                <w:t xml:space="preserve">DWP &amp; Department for Health . (2016). </w:t>
              </w:r>
              <w:r>
                <w:rPr>
                  <w:i/>
                  <w:iCs/>
                  <w:noProof/>
                  <w:lang w:val="en-US"/>
                </w:rPr>
                <w:t>Improving Lives The Work, Health and Disability Green Paper .</w:t>
              </w:r>
              <w:r>
                <w:rPr>
                  <w:noProof/>
                  <w:lang w:val="en-US"/>
                </w:rPr>
                <w:t xml:space="preserve"> Retrieved from https://assets.publishing.service.gov.uk/government/uploads/system/uploads/attachment_data/file/564038/work-and-health-green-paper-improving-lives.pdf</w:t>
              </w:r>
            </w:p>
            <w:p w14:paraId="3B6A60CA" w14:textId="77777777" w:rsidR="00FF6A5B" w:rsidRDefault="00FF6A5B" w:rsidP="00FF6A5B">
              <w:pPr>
                <w:pStyle w:val="Bibliography"/>
                <w:ind w:left="720" w:hanging="720"/>
                <w:rPr>
                  <w:noProof/>
                  <w:lang w:val="en-US"/>
                </w:rPr>
              </w:pPr>
              <w:r>
                <w:rPr>
                  <w:noProof/>
                  <w:lang w:val="en-US"/>
                </w:rPr>
                <w:t xml:space="preserve">Genius Within. (2021). </w:t>
              </w:r>
              <w:r>
                <w:rPr>
                  <w:i/>
                  <w:iCs/>
                  <w:noProof/>
                  <w:lang w:val="en-US"/>
                </w:rPr>
                <w:t>What is Neurodiversity</w:t>
              </w:r>
              <w:r>
                <w:rPr>
                  <w:noProof/>
                  <w:lang w:val="en-US"/>
                </w:rPr>
                <w:t>. Retrieved September 18, 2021, from https://www.geniuswithin.co.uk/what-is-neurodiversity/#:~:text=%E2%80%9CSpiky%20profiles%E2%80%9D%20are%20a%20great,has%20large%20peaks%20and%20troughs.</w:t>
              </w:r>
            </w:p>
            <w:p w14:paraId="7B0FED50" w14:textId="77777777" w:rsidR="00FF6A5B" w:rsidRDefault="00FF6A5B" w:rsidP="00FF6A5B">
              <w:pPr>
                <w:pStyle w:val="Bibliography"/>
                <w:ind w:left="720" w:hanging="720"/>
                <w:rPr>
                  <w:noProof/>
                  <w:lang w:val="en-US"/>
                </w:rPr>
              </w:pPr>
              <w:r>
                <w:rPr>
                  <w:noProof/>
                  <w:lang w:val="en-US"/>
                </w:rPr>
                <w:t xml:space="preserve">GMB. (2019). </w:t>
              </w:r>
              <w:r>
                <w:rPr>
                  <w:i/>
                  <w:iCs/>
                  <w:noProof/>
                  <w:lang w:val="en-US"/>
                </w:rPr>
                <w:t>GMB Reasonable Adjustment Passport Campaign</w:t>
              </w:r>
              <w:r>
                <w:rPr>
                  <w:noProof/>
                  <w:lang w:val="en-US"/>
                </w:rPr>
                <w:t>. Retrieved from https://www.gmb.org.uk/campaign/reasonable-adjustment-passport</w:t>
              </w:r>
            </w:p>
            <w:p w14:paraId="2D0FFE4A" w14:textId="77777777" w:rsidR="00FF6A5B" w:rsidRDefault="00FF6A5B" w:rsidP="00FF6A5B">
              <w:pPr>
                <w:pStyle w:val="Bibliography"/>
                <w:ind w:left="720" w:hanging="720"/>
                <w:rPr>
                  <w:noProof/>
                  <w:lang w:val="en-US"/>
                </w:rPr>
              </w:pPr>
              <w:r>
                <w:rPr>
                  <w:noProof/>
                  <w:lang w:val="en-US"/>
                </w:rPr>
                <w:t xml:space="preserve">Gosimpletax. (2021). </w:t>
              </w:r>
              <w:r>
                <w:rPr>
                  <w:i/>
                  <w:iCs/>
                  <w:noProof/>
                  <w:lang w:val="en-US"/>
                </w:rPr>
                <w:t>Self Employment Statistics</w:t>
              </w:r>
              <w:r>
                <w:rPr>
                  <w:noProof/>
                  <w:lang w:val="en-US"/>
                </w:rPr>
                <w:t>. Retrieved September 18, 2021, from https://www.gosimpletax.com/insights/self-employment-statistics#:~:text=The%20largest%20percentage%20of%20self,%2D64%20are%20self%2Demployed</w:t>
              </w:r>
            </w:p>
            <w:p w14:paraId="599B29D5" w14:textId="77777777" w:rsidR="00FF6A5B" w:rsidRDefault="00FF6A5B" w:rsidP="00FF6A5B">
              <w:pPr>
                <w:pStyle w:val="Bibliography"/>
                <w:ind w:left="720" w:hanging="720"/>
                <w:rPr>
                  <w:noProof/>
                  <w:lang w:val="en-US"/>
                </w:rPr>
              </w:pPr>
              <w:r>
                <w:rPr>
                  <w:noProof/>
                  <w:lang w:val="en-US"/>
                </w:rPr>
                <w:lastRenderedPageBreak/>
                <w:t xml:space="preserve">Gosimpletax. (2021a). </w:t>
              </w:r>
              <w:r>
                <w:rPr>
                  <w:i/>
                  <w:iCs/>
                  <w:noProof/>
                  <w:lang w:val="en-US"/>
                </w:rPr>
                <w:t>Self Employment Statistics</w:t>
              </w:r>
              <w:r>
                <w:rPr>
                  <w:noProof/>
                  <w:lang w:val="en-US"/>
                </w:rPr>
                <w:t>. Retrieved from https://www.gosimpletax.com/insights/self-employment-statistics#:~:text=The%20largest%20percentage%20of%20self,%2D64%20are%20self%2Demployed</w:t>
              </w:r>
            </w:p>
            <w:p w14:paraId="30A0BF20" w14:textId="77777777" w:rsidR="00FF6A5B" w:rsidRDefault="00FF6A5B" w:rsidP="00FF6A5B">
              <w:pPr>
                <w:pStyle w:val="Bibliography"/>
                <w:ind w:left="720" w:hanging="720"/>
                <w:rPr>
                  <w:noProof/>
                  <w:lang w:val="en-US"/>
                </w:rPr>
              </w:pPr>
              <w:r>
                <w:rPr>
                  <w:noProof/>
                  <w:lang w:val="en-US"/>
                </w:rPr>
                <w:t xml:space="preserve">Gosimpletax. (2021b). </w:t>
              </w:r>
              <w:r>
                <w:rPr>
                  <w:i/>
                  <w:iCs/>
                  <w:noProof/>
                  <w:lang w:val="en-US"/>
                </w:rPr>
                <w:t>Self Employment Statistics</w:t>
              </w:r>
              <w:r>
                <w:rPr>
                  <w:noProof/>
                  <w:lang w:val="en-US"/>
                </w:rPr>
                <w:t>. Retrieved September 18, 2021, from https://www.gosimpletax.com/insights/self-employment-statistics#:~:text=The%20largest%20percentage%20of%20self,%2D64%20are%20self%2Demployed</w:t>
              </w:r>
            </w:p>
            <w:p w14:paraId="21D0F3F0" w14:textId="77777777" w:rsidR="00FF6A5B" w:rsidRDefault="00FF6A5B" w:rsidP="00FF6A5B">
              <w:pPr>
                <w:pStyle w:val="Bibliography"/>
                <w:ind w:left="720" w:hanging="720"/>
                <w:rPr>
                  <w:noProof/>
                  <w:lang w:val="en-US"/>
                </w:rPr>
              </w:pPr>
              <w:r>
                <w:rPr>
                  <w:noProof/>
                  <w:lang w:val="en-US"/>
                </w:rPr>
                <w:t xml:space="preserve">HM Government b. (2010). </w:t>
              </w:r>
              <w:r>
                <w:rPr>
                  <w:i/>
                  <w:iCs/>
                  <w:noProof/>
                  <w:lang w:val="en-US"/>
                </w:rPr>
                <w:t>State of the Nation Report, Poverty Worklessness and welfare dependency in the UK.</w:t>
              </w:r>
              <w:r>
                <w:rPr>
                  <w:noProof/>
                  <w:lang w:val="en-US"/>
                </w:rPr>
                <w:t xml:space="preserve"> Retrieved September 18, 2021, from https://www.bristol.ac.uk/poverty/downloads/keyofficialdocuments/CONDEM%20-poverty-report.pdf</w:t>
              </w:r>
            </w:p>
            <w:p w14:paraId="682AF256" w14:textId="77777777" w:rsidR="00FF6A5B" w:rsidRDefault="00FF6A5B" w:rsidP="00FF6A5B">
              <w:pPr>
                <w:pStyle w:val="Bibliography"/>
                <w:ind w:left="720" w:hanging="720"/>
                <w:rPr>
                  <w:noProof/>
                  <w:lang w:val="en-US"/>
                </w:rPr>
              </w:pPr>
              <w:r>
                <w:rPr>
                  <w:noProof/>
                  <w:lang w:val="en-US"/>
                </w:rPr>
                <w:t xml:space="preserve">House of Commons. (2021). </w:t>
              </w:r>
              <w:r>
                <w:rPr>
                  <w:i/>
                  <w:iCs/>
                  <w:noProof/>
                  <w:lang w:val="en-US"/>
                </w:rPr>
                <w:t>Support for Disabled Students in Higher Education in England</w:t>
              </w:r>
              <w:r>
                <w:rPr>
                  <w:noProof/>
                  <w:lang w:val="en-US"/>
                </w:rPr>
                <w:t>. Retrieved September 19, 2021, from https://commonslibrary.parliament.uk/research-briefings/cbp-8716/</w:t>
              </w:r>
            </w:p>
            <w:p w14:paraId="529FB744" w14:textId="77777777" w:rsidR="00FF6A5B" w:rsidRDefault="00FF6A5B" w:rsidP="00FF6A5B">
              <w:pPr>
                <w:pStyle w:val="Bibliography"/>
                <w:ind w:left="720" w:hanging="720"/>
                <w:rPr>
                  <w:noProof/>
                  <w:lang w:val="en-US"/>
                </w:rPr>
              </w:pPr>
              <w:r>
                <w:rPr>
                  <w:noProof/>
                  <w:lang w:val="en-US"/>
                </w:rPr>
                <w:t xml:space="preserve">House of Commons Library. (2012). </w:t>
              </w:r>
              <w:r>
                <w:rPr>
                  <w:i/>
                  <w:iCs/>
                  <w:noProof/>
                  <w:lang w:val="en-US"/>
                </w:rPr>
                <w:t>Education: Historical statistics.</w:t>
              </w:r>
              <w:r>
                <w:rPr>
                  <w:noProof/>
                  <w:lang w:val="en-US"/>
                </w:rPr>
                <w:t xml:space="preserve"> Retrieved September 18, 2021, from https://commonslibrary.parliament.uk/research-briefings/sn04252/</w:t>
              </w:r>
            </w:p>
            <w:p w14:paraId="5446865E" w14:textId="77777777" w:rsidR="00FF6A5B" w:rsidRDefault="00FF6A5B" w:rsidP="00FF6A5B">
              <w:pPr>
                <w:pStyle w:val="Bibliography"/>
                <w:ind w:left="720" w:hanging="720"/>
                <w:rPr>
                  <w:noProof/>
                  <w:lang w:val="en-US"/>
                </w:rPr>
              </w:pPr>
              <w:r>
                <w:rPr>
                  <w:noProof/>
                  <w:lang w:val="en-US"/>
                </w:rPr>
                <w:t xml:space="preserve">Hoyles, A. a. (2007). </w:t>
              </w:r>
              <w:r>
                <w:rPr>
                  <w:i/>
                  <w:iCs/>
                  <w:noProof/>
                  <w:lang w:val="en-US"/>
                </w:rPr>
                <w:t>Dyslexia from a cultural prospective.</w:t>
              </w:r>
              <w:r>
                <w:rPr>
                  <w:noProof/>
                  <w:lang w:val="en-US"/>
                </w:rPr>
                <w:t xml:space="preserve"> Hansib.</w:t>
              </w:r>
            </w:p>
            <w:p w14:paraId="309D95BF" w14:textId="77777777" w:rsidR="00FF6A5B" w:rsidRDefault="00FF6A5B" w:rsidP="00FF6A5B">
              <w:pPr>
                <w:pStyle w:val="Bibliography"/>
                <w:ind w:left="720" w:hanging="720"/>
                <w:rPr>
                  <w:noProof/>
                  <w:lang w:val="en-US"/>
                </w:rPr>
              </w:pPr>
              <w:r>
                <w:rPr>
                  <w:noProof/>
                  <w:lang w:val="en-US"/>
                </w:rPr>
                <w:t xml:space="preserve">Institute of Employment Studies. (2009). </w:t>
              </w:r>
              <w:r>
                <w:rPr>
                  <w:i/>
                  <w:iCs/>
                  <w:noProof/>
                  <w:lang w:val="en-US"/>
                </w:rPr>
                <w:t>Creative Graduates Creative Futures Institute of Employment Studies.</w:t>
              </w:r>
              <w:r>
                <w:rPr>
                  <w:noProof/>
                  <w:lang w:val="en-US"/>
                </w:rPr>
                <w:t xml:space="preserve"> Retrieved September 18, 2021, from https://www.employment-studies.co.uk/resource/creative-graduates-creative-futures</w:t>
              </w:r>
            </w:p>
            <w:p w14:paraId="288692CF" w14:textId="77777777" w:rsidR="00FF6A5B" w:rsidRDefault="00FF6A5B" w:rsidP="00FF6A5B">
              <w:pPr>
                <w:pStyle w:val="Bibliography"/>
                <w:ind w:left="720" w:hanging="720"/>
                <w:rPr>
                  <w:noProof/>
                  <w:lang w:val="en-US"/>
                </w:rPr>
              </w:pPr>
              <w:r>
                <w:rPr>
                  <w:noProof/>
                  <w:lang w:val="en-US"/>
                </w:rPr>
                <w:t xml:space="preserve">Joseph Roundtree Foundation p9; p17. (2016). </w:t>
              </w:r>
              <w:r>
                <w:rPr>
                  <w:i/>
                  <w:iCs/>
                  <w:noProof/>
                  <w:lang w:val="en-US"/>
                </w:rPr>
                <w:t>Special Needs and Their Links to Poverty.</w:t>
              </w:r>
              <w:r>
                <w:rPr>
                  <w:noProof/>
                  <w:lang w:val="en-US"/>
                </w:rPr>
                <w:t xml:space="preserve"> Retrieved from https://www.jrf.org.uk/report/special-educational-needs-and-their-links-poverty</w:t>
              </w:r>
            </w:p>
            <w:p w14:paraId="4DBAE18B" w14:textId="77777777" w:rsidR="00FF6A5B" w:rsidRDefault="00FF6A5B" w:rsidP="00FF6A5B">
              <w:pPr>
                <w:pStyle w:val="Bibliography"/>
                <w:ind w:left="720" w:hanging="720"/>
                <w:rPr>
                  <w:noProof/>
                  <w:lang w:val="en-US"/>
                </w:rPr>
              </w:pPr>
              <w:r>
                <w:rPr>
                  <w:noProof/>
                  <w:lang w:val="en-US"/>
                </w:rPr>
                <w:t xml:space="preserve">Kirby &amp; Cleaton . (2018). </w:t>
              </w:r>
              <w:r>
                <w:rPr>
                  <w:i/>
                  <w:iCs/>
                  <w:noProof/>
                  <w:lang w:val="en-US"/>
                </w:rPr>
                <w:t>Why Do We Find it so Hard to Calculate the Burden of Neurodevelopmental Disorders - Journal of Childhood and Developmentle Disorders.</w:t>
              </w:r>
              <w:r>
                <w:rPr>
                  <w:noProof/>
                  <w:lang w:val="en-US"/>
                </w:rPr>
                <w:t xml:space="preserve"> Retrieved September 2018, 2021, from https://childhood-developmental-disorders.imedpub.com/why-do-we-find-it-so-hard-to-calculate-the-burden-of-neurodevelopmental-disorders.php?aid=23252</w:t>
              </w:r>
            </w:p>
            <w:p w14:paraId="156B833D" w14:textId="77777777" w:rsidR="00FF6A5B" w:rsidRDefault="00FF6A5B" w:rsidP="00FF6A5B">
              <w:pPr>
                <w:pStyle w:val="Bibliography"/>
                <w:ind w:left="720" w:hanging="720"/>
                <w:rPr>
                  <w:noProof/>
                  <w:lang w:val="en-US"/>
                </w:rPr>
              </w:pPr>
              <w:r>
                <w:rPr>
                  <w:noProof/>
                  <w:lang w:val="en-US"/>
                </w:rPr>
                <w:t>Kirby, P. A. (2020). Neurodiversity 101 Ethnicity Do It Profiler. https://www.linkedin.com/posts/profamandakirby_bame-and-neurodiversity-activity-6674552743832625152-j532/.</w:t>
              </w:r>
            </w:p>
            <w:p w14:paraId="58968AA8" w14:textId="77777777" w:rsidR="00FF6A5B" w:rsidRDefault="00FF6A5B" w:rsidP="00FF6A5B">
              <w:pPr>
                <w:pStyle w:val="Bibliography"/>
                <w:ind w:left="720" w:hanging="720"/>
                <w:rPr>
                  <w:noProof/>
                  <w:lang w:val="en-US"/>
                </w:rPr>
              </w:pPr>
              <w:r>
                <w:rPr>
                  <w:noProof/>
                  <w:lang w:val="en-US"/>
                </w:rPr>
                <w:t xml:space="preserve">Kirby, P. A. (2021). </w:t>
              </w:r>
              <w:r>
                <w:rPr>
                  <w:i/>
                  <w:iCs/>
                  <w:noProof/>
                  <w:lang w:val="en-US"/>
                </w:rPr>
                <w:t>A Salutary Tale Of Two Neuro-Diverse, and Socially Diverse, Boys - Teaching Times .</w:t>
              </w:r>
              <w:r>
                <w:rPr>
                  <w:noProof/>
                  <w:lang w:val="en-US"/>
                </w:rPr>
                <w:t xml:space="preserve"> Retrieved September 18, 2021, from https://www.teachingtimes.com/a-salutary-tale-of-two-neuro-diverse-and-socially-diverse-boys/</w:t>
              </w:r>
            </w:p>
            <w:p w14:paraId="22524485" w14:textId="77777777" w:rsidR="00FF6A5B" w:rsidRDefault="00FF6A5B" w:rsidP="00FF6A5B">
              <w:pPr>
                <w:pStyle w:val="Bibliography"/>
                <w:ind w:left="720" w:hanging="720"/>
                <w:rPr>
                  <w:noProof/>
                  <w:lang w:val="en-US"/>
                </w:rPr>
              </w:pPr>
              <w:r>
                <w:rPr>
                  <w:noProof/>
                  <w:lang w:val="en-US"/>
                </w:rPr>
                <w:t xml:space="preserve">Logan. (2001). </w:t>
              </w:r>
              <w:r>
                <w:rPr>
                  <w:i/>
                  <w:iCs/>
                  <w:noProof/>
                  <w:lang w:val="en-US"/>
                </w:rPr>
                <w:t>Entrepreneurial success: A study of the incidence of dyslexia in the entrepreneurial population and the influence of dyslexia on success. Ph.D. thesis, unpublished, University of Bristol, UK.</w:t>
              </w:r>
              <w:r>
                <w:rPr>
                  <w:noProof/>
                  <w:lang w:val="en-US"/>
                </w:rPr>
                <w:t xml:space="preserve"> Ph.D. thesis, unpublished, University of Bristol, UK. cited in Logan J 2010 https://www.cass.city.ac.uk/__data/assets/pdf_file/0003/367383/julielogan-dyslexic-entrepreneurs.pdf.</w:t>
              </w:r>
            </w:p>
            <w:p w14:paraId="491B74F6" w14:textId="77777777" w:rsidR="00FF6A5B" w:rsidRDefault="00FF6A5B" w:rsidP="00FF6A5B">
              <w:pPr>
                <w:pStyle w:val="Bibliography"/>
                <w:ind w:left="720" w:hanging="720"/>
                <w:rPr>
                  <w:noProof/>
                  <w:lang w:val="en-US"/>
                </w:rPr>
              </w:pPr>
              <w:r>
                <w:rPr>
                  <w:noProof/>
                  <w:lang w:val="en-US"/>
                </w:rPr>
                <w:t xml:space="preserve">Logan, P. J. (2009). Dyslexic Entrepreneurs: The Incidence; Their Coping Strategies and Their Business Skills https://www.cass.city.ac.uk/__data/assets/pdf_file/0003/367383/julielogan-dyslexic-entrepreneurs.pdf. </w:t>
              </w:r>
              <w:r>
                <w:rPr>
                  <w:i/>
                  <w:iCs/>
                  <w:noProof/>
                  <w:lang w:val="en-US"/>
                </w:rPr>
                <w:t>Dyslexia</w:t>
              </w:r>
              <w:r>
                <w:rPr>
                  <w:noProof/>
                  <w:lang w:val="en-US"/>
                </w:rPr>
                <w:t xml:space="preserve">. Retrieved from </w:t>
              </w:r>
              <w:r>
                <w:rPr>
                  <w:noProof/>
                  <w:lang w:val="en-US"/>
                </w:rPr>
                <w:lastRenderedPageBreak/>
                <w:t>https://www.cass.city.ac.uk/__data/assets/pdf_file/0003/367383/julielogan-dyslexic-entrepreneurs.pdf</w:t>
              </w:r>
            </w:p>
            <w:p w14:paraId="3D62E89E" w14:textId="77777777" w:rsidR="00FF6A5B" w:rsidRDefault="00FF6A5B" w:rsidP="00FF6A5B">
              <w:pPr>
                <w:pStyle w:val="Bibliography"/>
                <w:ind w:left="720" w:hanging="720"/>
                <w:rPr>
                  <w:noProof/>
                  <w:lang w:val="en-US"/>
                </w:rPr>
              </w:pPr>
              <w:r>
                <w:rPr>
                  <w:noProof/>
                  <w:lang w:val="en-US"/>
                </w:rPr>
                <w:t xml:space="preserve">Logan, P. J. (2009a; p13). </w:t>
              </w:r>
              <w:r>
                <w:rPr>
                  <w:i/>
                  <w:iCs/>
                  <w:noProof/>
                  <w:lang w:val="en-US"/>
                </w:rPr>
                <w:t>Dyslexic Entrepreneurs</w:t>
              </w:r>
              <w:r>
                <w:rPr>
                  <w:noProof/>
                  <w:lang w:val="en-US"/>
                </w:rPr>
                <w:t>.</w:t>
              </w:r>
            </w:p>
            <w:p w14:paraId="1682DAC7" w14:textId="77777777" w:rsidR="00FF6A5B" w:rsidRDefault="00FF6A5B" w:rsidP="00FF6A5B">
              <w:pPr>
                <w:pStyle w:val="Bibliography"/>
                <w:ind w:left="720" w:hanging="720"/>
                <w:rPr>
                  <w:noProof/>
                  <w:lang w:val="en-US"/>
                </w:rPr>
              </w:pPr>
              <w:r>
                <w:rPr>
                  <w:noProof/>
                  <w:lang w:val="en-US"/>
                </w:rPr>
                <w:t xml:space="preserve">Markinstyle. (2021). </w:t>
              </w:r>
              <w:r>
                <w:rPr>
                  <w:i/>
                  <w:iCs/>
                  <w:noProof/>
                  <w:lang w:val="en-US"/>
                </w:rPr>
                <w:t>15 Astonishing Graduate Employment Statistics</w:t>
              </w:r>
              <w:r>
                <w:rPr>
                  <w:noProof/>
                  <w:lang w:val="en-US"/>
                </w:rPr>
                <w:t>. Retrieved September 18, 2021, from https://markinstyle.co.uk/graduate-employment-statistics/</w:t>
              </w:r>
            </w:p>
            <w:p w14:paraId="350FD4EB" w14:textId="77777777" w:rsidR="00FF6A5B" w:rsidRDefault="00FF6A5B" w:rsidP="00FF6A5B">
              <w:pPr>
                <w:pStyle w:val="Bibliography"/>
                <w:ind w:left="720" w:hanging="720"/>
                <w:rPr>
                  <w:noProof/>
                  <w:lang w:val="en-US"/>
                </w:rPr>
              </w:pPr>
              <w:r>
                <w:rPr>
                  <w:noProof/>
                  <w:lang w:val="en-US"/>
                </w:rPr>
                <w:t xml:space="preserve">NHS. (2018). </w:t>
              </w:r>
              <w:r>
                <w:rPr>
                  <w:i/>
                  <w:iCs/>
                  <w:noProof/>
                  <w:lang w:val="en-US"/>
                </w:rPr>
                <w:t>Dyslexia</w:t>
              </w:r>
              <w:r>
                <w:rPr>
                  <w:noProof/>
                  <w:lang w:val="en-US"/>
                </w:rPr>
                <w:t>. Retrieved from https://www.nhs.uk/conditions/dyslexia/#:~:text=It's%20estimated%20up%20to%201,has%20some%20degree%20of%20dyslexia</w:t>
              </w:r>
            </w:p>
            <w:p w14:paraId="3B67FFEE" w14:textId="77777777" w:rsidR="00FF6A5B" w:rsidRDefault="00FF6A5B" w:rsidP="00FF6A5B">
              <w:pPr>
                <w:pStyle w:val="Bibliography"/>
                <w:ind w:left="720" w:hanging="720"/>
                <w:rPr>
                  <w:noProof/>
                  <w:lang w:val="en-US"/>
                </w:rPr>
              </w:pPr>
              <w:r>
                <w:rPr>
                  <w:noProof/>
                  <w:lang w:val="en-US"/>
                </w:rPr>
                <w:t xml:space="preserve">Nomis. (2021). </w:t>
              </w:r>
              <w:r>
                <w:rPr>
                  <w:i/>
                  <w:iCs/>
                  <w:noProof/>
                  <w:lang w:val="en-US"/>
                </w:rPr>
                <w:t>Official Labour Market Statistics</w:t>
              </w:r>
              <w:r>
                <w:rPr>
                  <w:noProof/>
                  <w:lang w:val="en-US"/>
                </w:rPr>
                <w:t>. Retrieved from https://www.nomisweb.co.uk/reports/lmp/gor/2092957698/report.aspx#tabempocc</w:t>
              </w:r>
            </w:p>
            <w:p w14:paraId="1FD22F05" w14:textId="77777777" w:rsidR="00FF6A5B" w:rsidRDefault="00FF6A5B" w:rsidP="00FF6A5B">
              <w:pPr>
                <w:pStyle w:val="Bibliography"/>
                <w:ind w:left="720" w:hanging="720"/>
                <w:rPr>
                  <w:noProof/>
                  <w:lang w:val="en-US"/>
                </w:rPr>
              </w:pPr>
              <w:r>
                <w:rPr>
                  <w:noProof/>
                  <w:lang w:val="en-US"/>
                </w:rPr>
                <w:t xml:space="preserve">Office for National Statistics . (2021). </w:t>
              </w:r>
              <w:r>
                <w:rPr>
                  <w:i/>
                  <w:iCs/>
                  <w:noProof/>
                  <w:lang w:val="en-US"/>
                </w:rPr>
                <w:t xml:space="preserve">Employment and Labour Market </w:t>
              </w:r>
              <w:r>
                <w:rPr>
                  <w:noProof/>
                  <w:lang w:val="en-US"/>
                </w:rPr>
                <w:t>. Retrieved September 18, 2021, from https://www.ons.gov.uk/employmentandlabourmarket</w:t>
              </w:r>
            </w:p>
            <w:p w14:paraId="5D629953" w14:textId="77777777" w:rsidR="00FF6A5B" w:rsidRDefault="00FF6A5B" w:rsidP="00FF6A5B">
              <w:pPr>
                <w:pStyle w:val="Bibliography"/>
                <w:ind w:left="720" w:hanging="720"/>
                <w:rPr>
                  <w:noProof/>
                  <w:lang w:val="en-US"/>
                </w:rPr>
              </w:pPr>
              <w:r>
                <w:rPr>
                  <w:noProof/>
                  <w:lang w:val="en-US"/>
                </w:rPr>
                <w:t xml:space="preserve">Office for National Statistics. (2017b). </w:t>
              </w:r>
              <w:r>
                <w:rPr>
                  <w:i/>
                  <w:iCs/>
                  <w:noProof/>
                  <w:lang w:val="en-US"/>
                </w:rPr>
                <w:t>Changes in the UK economy since the 1970s Figure 5.</w:t>
              </w:r>
              <w:r>
                <w:rPr>
                  <w:noProof/>
                  <w:lang w:val="en-US"/>
                </w:rPr>
                <w:t xml:space="preserve"> Retrieved from https://www.ons.gov.uk/economy/economicoutputandproductivity/output/articles/changesintheeconomysincethe1970s/2019-09-02</w:t>
              </w:r>
            </w:p>
            <w:p w14:paraId="2AA0DC12" w14:textId="77777777" w:rsidR="00FF6A5B" w:rsidRDefault="00FF6A5B" w:rsidP="00FF6A5B">
              <w:pPr>
                <w:pStyle w:val="Bibliography"/>
                <w:ind w:left="720" w:hanging="720"/>
                <w:rPr>
                  <w:noProof/>
                  <w:lang w:val="en-US"/>
                </w:rPr>
              </w:pPr>
              <w:r>
                <w:rPr>
                  <w:noProof/>
                  <w:lang w:val="en-US"/>
                </w:rPr>
                <w:t xml:space="preserve">Office for national Statistics. (2019b). </w:t>
              </w:r>
              <w:r>
                <w:rPr>
                  <w:i/>
                  <w:iCs/>
                  <w:noProof/>
                  <w:lang w:val="en-US"/>
                </w:rPr>
                <w:t>Changes in the economy since the 1970s -Section 4, Employment levels by employment type, gender, sectors and subsectors.</w:t>
              </w:r>
              <w:r>
                <w:rPr>
                  <w:noProof/>
                  <w:lang w:val="en-US"/>
                </w:rPr>
                <w:t xml:space="preserve"> Retrieved Sept 18, 2021, from https://www.ons.gov.uk/economy/economicoutputandproductivity/output/articles/changesintheeconomysincethe1970s/2019-09-02</w:t>
              </w:r>
            </w:p>
            <w:p w14:paraId="78276CFC" w14:textId="77777777" w:rsidR="00FF6A5B" w:rsidRDefault="00FF6A5B" w:rsidP="00FF6A5B">
              <w:pPr>
                <w:pStyle w:val="Bibliography"/>
                <w:ind w:left="720" w:hanging="720"/>
                <w:rPr>
                  <w:noProof/>
                  <w:lang w:val="en-US"/>
                </w:rPr>
              </w:pPr>
              <w:r>
                <w:rPr>
                  <w:noProof/>
                  <w:lang w:val="en-US"/>
                </w:rPr>
                <w:t xml:space="preserve">Office for National Statistics. (2019f). </w:t>
              </w:r>
              <w:r>
                <w:rPr>
                  <w:i/>
                  <w:iCs/>
                  <w:noProof/>
                  <w:lang w:val="en-US"/>
                </w:rPr>
                <w:t>Long Term Trends in UK Employment - Figure 8 Share of Employment which is self employed</w:t>
              </w:r>
              <w:r>
                <w:rPr>
                  <w:noProof/>
                  <w:lang w:val="en-US"/>
                </w:rPr>
                <w:t>. Retrieved September 18, 2021, from https://www.ons.gov.uk/economy/nationalaccounts/uksectoraccounts/compendium/economicreview/april2019/longtermtrendsinukemployment1861to2018</w:t>
              </w:r>
            </w:p>
            <w:p w14:paraId="1B8D0692" w14:textId="77777777" w:rsidR="00FF6A5B" w:rsidRDefault="00FF6A5B" w:rsidP="00FF6A5B">
              <w:pPr>
                <w:pStyle w:val="Bibliography"/>
                <w:ind w:left="720" w:hanging="720"/>
                <w:rPr>
                  <w:noProof/>
                  <w:lang w:val="en-US"/>
                </w:rPr>
              </w:pPr>
              <w:r>
                <w:rPr>
                  <w:noProof/>
                  <w:lang w:val="en-US"/>
                </w:rPr>
                <w:t xml:space="preserve">Office of National Statistics. (2019). </w:t>
              </w:r>
              <w:r>
                <w:rPr>
                  <w:i/>
                  <w:iCs/>
                  <w:noProof/>
                  <w:lang w:val="en-US"/>
                </w:rPr>
                <w:t>Changes in the Economy since the 1970s.</w:t>
              </w:r>
              <w:r>
                <w:rPr>
                  <w:noProof/>
                  <w:lang w:val="en-US"/>
                </w:rPr>
                <w:t xml:space="preserve"> Retrieved from https://www.ons.gov.uk/economy/economicoutputandproductivity/output/articles/changesintheeconomysincethe1970s/2019-09-02</w:t>
              </w:r>
            </w:p>
            <w:p w14:paraId="0C41CECE" w14:textId="77777777" w:rsidR="00FF6A5B" w:rsidRDefault="00FF6A5B" w:rsidP="00FF6A5B">
              <w:pPr>
                <w:pStyle w:val="Bibliography"/>
                <w:ind w:left="720" w:hanging="720"/>
                <w:rPr>
                  <w:noProof/>
                  <w:lang w:val="en-US"/>
                </w:rPr>
              </w:pPr>
              <w:r>
                <w:rPr>
                  <w:noProof/>
                  <w:lang w:val="en-US"/>
                </w:rPr>
                <w:t>ONS. (2019). Retrieved from https://www.ons.gov.uk/economy/nationalaccounts/uksectoraccounts/compendium/economicreview/april2019/longtermtrendsinukemployment1861to2018</w:t>
              </w:r>
            </w:p>
            <w:p w14:paraId="53A77E6A" w14:textId="77777777" w:rsidR="00FF6A5B" w:rsidRDefault="00FF6A5B" w:rsidP="00FF6A5B">
              <w:pPr>
                <w:pStyle w:val="Bibliography"/>
                <w:ind w:left="720" w:hanging="720"/>
                <w:rPr>
                  <w:noProof/>
                  <w:lang w:val="en-US"/>
                </w:rPr>
              </w:pPr>
              <w:r>
                <w:rPr>
                  <w:noProof/>
                  <w:lang w:val="en-US"/>
                </w:rPr>
                <w:t>ONS. (2019c). Retrieved from https://www.ons.gov.uk/economy/nationalaccounts/uksectoraccounts/compendium/economicreview/april2019/longtermtrendsinukemployment1861to2018</w:t>
              </w:r>
            </w:p>
            <w:p w14:paraId="5BA99095" w14:textId="77777777" w:rsidR="00FF6A5B" w:rsidRDefault="00FF6A5B" w:rsidP="00FF6A5B">
              <w:pPr>
                <w:pStyle w:val="Bibliography"/>
                <w:ind w:left="720" w:hanging="720"/>
                <w:rPr>
                  <w:noProof/>
                  <w:lang w:val="en-US"/>
                </w:rPr>
              </w:pPr>
              <w:r>
                <w:rPr>
                  <w:noProof/>
                  <w:lang w:val="en-US"/>
                </w:rPr>
                <w:t xml:space="preserve">ONS. (2019d). </w:t>
              </w:r>
              <w:r>
                <w:rPr>
                  <w:i/>
                  <w:iCs/>
                  <w:noProof/>
                  <w:lang w:val="en-US"/>
                </w:rPr>
                <w:t>Long Term Trends in UK Employment 1861-1918</w:t>
              </w:r>
              <w:r>
                <w:rPr>
                  <w:noProof/>
                  <w:lang w:val="en-US"/>
                </w:rPr>
                <w:t>. Retrieved from https://www.ons.gov.uk/economy/nationalaccounts/uksectoraccounts/compendium/economicreview/april2019/longtermtrendsinukemployment1861to2018</w:t>
              </w:r>
            </w:p>
            <w:p w14:paraId="131C896F" w14:textId="77777777" w:rsidR="00FF6A5B" w:rsidRDefault="00FF6A5B" w:rsidP="00FF6A5B">
              <w:pPr>
                <w:pStyle w:val="Bibliography"/>
                <w:ind w:left="720" w:hanging="720"/>
                <w:rPr>
                  <w:noProof/>
                  <w:lang w:val="en-US"/>
                </w:rPr>
              </w:pPr>
              <w:r>
                <w:rPr>
                  <w:noProof/>
                  <w:lang w:val="en-US"/>
                </w:rPr>
                <w:t xml:space="preserve">ONS. (2019e). </w:t>
              </w:r>
              <w:r>
                <w:rPr>
                  <w:i/>
                  <w:iCs/>
                  <w:noProof/>
                  <w:lang w:val="en-US"/>
                </w:rPr>
                <w:t>Long Term Trends in UK Employment 1861 to 2018</w:t>
              </w:r>
              <w:r>
                <w:rPr>
                  <w:noProof/>
                  <w:lang w:val="en-US"/>
                </w:rPr>
                <w:t>. Retrieved from https://www.ons.gov.uk/economy/nationalaccounts/uksectoraccounts/compendium/economicreview/april2019/longtermtrendsinukemployment1861to2018</w:t>
              </w:r>
            </w:p>
            <w:p w14:paraId="48D130FB" w14:textId="77777777" w:rsidR="00FF6A5B" w:rsidRDefault="00FF6A5B" w:rsidP="00FF6A5B">
              <w:pPr>
                <w:pStyle w:val="Bibliography"/>
                <w:ind w:left="720" w:hanging="720"/>
                <w:rPr>
                  <w:noProof/>
                  <w:lang w:val="en-US"/>
                </w:rPr>
              </w:pPr>
              <w:r>
                <w:rPr>
                  <w:noProof/>
                  <w:lang w:val="en-US"/>
                </w:rPr>
                <w:lastRenderedPageBreak/>
                <w:t xml:space="preserve">ONS. (2020). </w:t>
              </w:r>
              <w:r>
                <w:rPr>
                  <w:i/>
                  <w:iCs/>
                  <w:noProof/>
                  <w:lang w:val="en-US"/>
                </w:rPr>
                <w:t>Ethnicity Facts and Figures https://www.ethnicity-facts-figures.service.gov.uk/work-pay-and-benefits/unemployment-and-economic-inactivity/unemployment-by-qualification-level/latest.</w:t>
              </w:r>
              <w:r>
                <w:rPr>
                  <w:noProof/>
                  <w:lang w:val="en-US"/>
                </w:rPr>
                <w:t xml:space="preserve"> Retrieved from https://www.ethnicity-facts-figures.service.gov.uk/work-pay-and-benefits/unemployment-and-economic-inactivity/unemployment-by-qualification-level/latest</w:t>
              </w:r>
            </w:p>
            <w:p w14:paraId="1C50D5DE" w14:textId="77777777" w:rsidR="00FF6A5B" w:rsidRDefault="00FF6A5B" w:rsidP="00FF6A5B">
              <w:pPr>
                <w:pStyle w:val="Bibliography"/>
                <w:ind w:left="720" w:hanging="720"/>
                <w:rPr>
                  <w:noProof/>
                  <w:lang w:val="en-US"/>
                </w:rPr>
              </w:pPr>
              <w:r>
                <w:rPr>
                  <w:noProof/>
                  <w:lang w:val="en-US"/>
                </w:rPr>
                <w:t xml:space="preserve">Readingwell. (2021). </w:t>
              </w:r>
              <w:r>
                <w:rPr>
                  <w:i/>
                  <w:iCs/>
                  <w:noProof/>
                  <w:lang w:val="en-US"/>
                </w:rPr>
                <w:t>Dyslexia Statistics and Myth Busting Facts.</w:t>
              </w:r>
              <w:r>
                <w:rPr>
                  <w:noProof/>
                  <w:lang w:val="en-US"/>
                </w:rPr>
                <w:t xml:space="preserve"> Retrieved September 18, 2021, from https://www.dyslexia-reading-well.com/dyslexia-statistics.html</w:t>
              </w:r>
            </w:p>
            <w:p w14:paraId="64296077" w14:textId="77777777" w:rsidR="00FF6A5B" w:rsidRDefault="00FF6A5B" w:rsidP="00FF6A5B">
              <w:pPr>
                <w:pStyle w:val="Bibliography"/>
                <w:ind w:left="720" w:hanging="720"/>
                <w:rPr>
                  <w:noProof/>
                  <w:lang w:val="en-US"/>
                </w:rPr>
              </w:pPr>
              <w:r>
                <w:rPr>
                  <w:noProof/>
                  <w:lang w:val="en-US"/>
                </w:rPr>
                <w:t xml:space="preserve">Solicitors Regulatory Authority. (2017, p21; p12). </w:t>
              </w:r>
              <w:r>
                <w:rPr>
                  <w:i/>
                  <w:iCs/>
                  <w:noProof/>
                  <w:lang w:val="en-US"/>
                </w:rPr>
                <w:t>Mapping advantages and disadvantages: Diversity in the legal profession in England and Wales.</w:t>
              </w:r>
              <w:r>
                <w:rPr>
                  <w:noProof/>
                  <w:lang w:val="en-US"/>
                </w:rPr>
                <w:t xml:space="preserve"> Retrieved September 18, 2021, from https://www.sra.org.uk/sra/how-we-work/reports/diversity-legal-profession/</w:t>
              </w:r>
            </w:p>
            <w:p w14:paraId="2266A5A0" w14:textId="77777777" w:rsidR="00FF6A5B" w:rsidRDefault="00FF6A5B" w:rsidP="00FF6A5B">
              <w:pPr>
                <w:pStyle w:val="Bibliography"/>
                <w:ind w:left="720" w:hanging="720"/>
                <w:rPr>
                  <w:noProof/>
                  <w:lang w:val="en-US"/>
                </w:rPr>
              </w:pPr>
              <w:r>
                <w:rPr>
                  <w:noProof/>
                  <w:lang w:val="en-US"/>
                </w:rPr>
                <w:t xml:space="preserve">UK Commission for Employment and Skills . (2014). </w:t>
              </w:r>
              <w:r>
                <w:rPr>
                  <w:i/>
                  <w:iCs/>
                  <w:noProof/>
                  <w:lang w:val="en-US"/>
                </w:rPr>
                <w:t>The Future of Jobs and work 2030.</w:t>
              </w:r>
              <w:r>
                <w:rPr>
                  <w:noProof/>
                  <w:lang w:val="en-US"/>
                </w:rPr>
                <w:t xml:space="preserve"> UK Government.</w:t>
              </w:r>
            </w:p>
            <w:p w14:paraId="56ECB048" w14:textId="77777777" w:rsidR="00FF6A5B" w:rsidRDefault="00FF6A5B" w:rsidP="00FF6A5B">
              <w:pPr>
                <w:pStyle w:val="Bibliography"/>
                <w:ind w:left="720" w:hanging="720"/>
                <w:rPr>
                  <w:noProof/>
                  <w:lang w:val="en-US"/>
                </w:rPr>
              </w:pPr>
              <w:r>
                <w:rPr>
                  <w:noProof/>
                  <w:lang w:val="en-US"/>
                </w:rPr>
                <w:t xml:space="preserve">UK Commission for Employment and Skills. (2014). </w:t>
              </w:r>
              <w:r>
                <w:rPr>
                  <w:i/>
                  <w:iCs/>
                  <w:noProof/>
                  <w:lang w:val="en-US"/>
                </w:rPr>
                <w:t>The Future of work Jobs and skills in 2030.</w:t>
              </w:r>
              <w:r>
                <w:rPr>
                  <w:noProof/>
                  <w:lang w:val="en-US"/>
                </w:rPr>
                <w:t xml:space="preserve"> Retrieved September 18, 2021, from https://www.gov.uk/government/publications/jobs-and-skills-in-2030</w:t>
              </w:r>
            </w:p>
            <w:p w14:paraId="5133AD18" w14:textId="77777777" w:rsidR="00FF6A5B" w:rsidRDefault="00FF6A5B" w:rsidP="00FF6A5B">
              <w:pPr>
                <w:pStyle w:val="Bibliography"/>
                <w:ind w:left="720" w:hanging="720"/>
                <w:rPr>
                  <w:noProof/>
                  <w:lang w:val="en-US"/>
                </w:rPr>
              </w:pPr>
              <w:r>
                <w:rPr>
                  <w:noProof/>
                  <w:lang w:val="en-US"/>
                </w:rPr>
                <w:t>UK Commission for Employment and Skills The Future of Work. (2014; p80).</w:t>
              </w:r>
            </w:p>
            <w:p w14:paraId="468463FC" w14:textId="77777777" w:rsidR="00FF6A5B" w:rsidRDefault="00FF6A5B" w:rsidP="00FF6A5B">
              <w:pPr>
                <w:pStyle w:val="Bibliography"/>
                <w:ind w:left="720" w:hanging="720"/>
                <w:rPr>
                  <w:noProof/>
                  <w:lang w:val="en-US"/>
                </w:rPr>
              </w:pPr>
              <w:r>
                <w:rPr>
                  <w:noProof/>
                  <w:lang w:val="en-US"/>
                </w:rPr>
                <w:t xml:space="preserve">Work and Pensions Committee UK parliament . (2012). </w:t>
              </w:r>
              <w:r>
                <w:rPr>
                  <w:i/>
                  <w:iCs/>
                  <w:noProof/>
                  <w:lang w:val="en-US"/>
                </w:rPr>
                <w:t xml:space="preserve">British Dyslexia Association Written Evidence </w:t>
              </w:r>
              <w:r>
                <w:rPr>
                  <w:noProof/>
                  <w:lang w:val="en-US"/>
                </w:rPr>
                <w:t>. Retrieved from https://publications.parliament.uk/pa/cm201213/cmselect/cmworpen/576/576vw08.htm</w:t>
              </w:r>
            </w:p>
            <w:p w14:paraId="70A6534D" w14:textId="0AAF5065" w:rsidR="00022D14" w:rsidRDefault="00022D14" w:rsidP="00FF6A5B">
              <w:r>
                <w:rPr>
                  <w:b/>
                  <w:bCs/>
                  <w:noProof/>
                </w:rPr>
                <w:fldChar w:fldCharType="end"/>
              </w:r>
            </w:p>
          </w:sdtContent>
        </w:sdt>
      </w:sdtContent>
    </w:sdt>
    <w:p w14:paraId="41FB6817" w14:textId="4230C5BB" w:rsidR="00BF7032" w:rsidRDefault="00BF7032"/>
    <w:p w14:paraId="641E5E7D" w14:textId="7C1BCD27" w:rsidR="00BF7032" w:rsidRDefault="00BF7032"/>
    <w:p w14:paraId="519A5903" w14:textId="2955AE12" w:rsidR="00BF7032" w:rsidRDefault="00BF7032"/>
    <w:p w14:paraId="5703A42E" w14:textId="41BE6907" w:rsidR="00BF7032" w:rsidRDefault="00BF7032"/>
    <w:p w14:paraId="40D01619" w14:textId="09EC8DC9" w:rsidR="00BF7032" w:rsidRDefault="00BF7032"/>
    <w:p w14:paraId="5307FD2F" w14:textId="77777777" w:rsidR="00BF7032" w:rsidRDefault="00BF7032"/>
    <w:sectPr w:rsidR="00BF7032">
      <w:footerReference w:type="even"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6902E0" w14:textId="77777777" w:rsidR="00844E00" w:rsidRDefault="00844E00" w:rsidP="00BF7032">
      <w:pPr>
        <w:spacing w:after="0" w:line="240" w:lineRule="auto"/>
      </w:pPr>
      <w:r>
        <w:separator/>
      </w:r>
    </w:p>
  </w:endnote>
  <w:endnote w:type="continuationSeparator" w:id="0">
    <w:p w14:paraId="50500EAD" w14:textId="77777777" w:rsidR="00844E00" w:rsidRDefault="00844E00" w:rsidP="00BF7032">
      <w:pPr>
        <w:spacing w:after="0" w:line="240" w:lineRule="auto"/>
      </w:pPr>
      <w:r>
        <w:continuationSeparator/>
      </w:r>
    </w:p>
  </w:endnote>
  <w:endnote w:id="1">
    <w:p w14:paraId="26B278FC" w14:textId="77777777" w:rsidR="00BF7032" w:rsidRDefault="00BF7032" w:rsidP="00BF7032">
      <w:pPr>
        <w:pStyle w:val="EndnoteText"/>
      </w:pPr>
    </w:p>
    <w:p w14:paraId="27D810AC" w14:textId="77777777" w:rsidR="00BF7032" w:rsidRDefault="00BF7032" w:rsidP="00BF7032">
      <w:pPr>
        <w:pStyle w:val="EndnoteText"/>
      </w:pPr>
    </w:p>
  </w:endnote>
  <w:endnote w:id="2">
    <w:p w14:paraId="5BA31B2D" w14:textId="77777777" w:rsidR="00BF7032" w:rsidRDefault="00BF7032" w:rsidP="00BF7032">
      <w:pPr>
        <w:pStyle w:val="EndnoteText"/>
      </w:pPr>
    </w:p>
    <w:p w14:paraId="1B567EDE" w14:textId="77777777" w:rsidR="00BF7032" w:rsidRDefault="00BF7032" w:rsidP="00BF7032">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4DC53E" w14:textId="77777777" w:rsidR="0085129F" w:rsidRDefault="00BF703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294B703" w14:textId="77777777" w:rsidR="0085129F" w:rsidRDefault="0085129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ECB57C" w14:textId="77777777" w:rsidR="0085129F" w:rsidRDefault="00BF703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14:paraId="50FB52E0" w14:textId="77777777" w:rsidR="0085129F" w:rsidRDefault="0085129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47913A" w14:textId="77777777" w:rsidR="00844E00" w:rsidRDefault="00844E00" w:rsidP="00BF7032">
      <w:pPr>
        <w:spacing w:after="0" w:line="240" w:lineRule="auto"/>
      </w:pPr>
      <w:r>
        <w:separator/>
      </w:r>
    </w:p>
  </w:footnote>
  <w:footnote w:type="continuationSeparator" w:id="0">
    <w:p w14:paraId="7DF459EA" w14:textId="77777777" w:rsidR="00844E00" w:rsidRDefault="00844E00" w:rsidP="00BF7032">
      <w:pPr>
        <w:spacing w:after="0" w:line="240" w:lineRule="auto"/>
      </w:pPr>
      <w:r>
        <w:continuationSeparator/>
      </w:r>
    </w:p>
  </w:footnote>
  <w:footnote w:id="1">
    <w:p w14:paraId="25365241" w14:textId="11BCFC91" w:rsidR="00303CF7" w:rsidRDefault="00303CF7">
      <w:pPr>
        <w:pStyle w:val="FootnoteText"/>
      </w:pPr>
      <w:r>
        <w:rPr>
          <w:rStyle w:val="FootnoteReference"/>
        </w:rPr>
        <w:footnoteRef/>
      </w:r>
      <w:r>
        <w:t xml:space="preserve"> </w:t>
      </w:r>
      <w:bookmarkStart w:id="1" w:name="_Hlk82891417"/>
      <w:r>
        <w:t xml:space="preserve">Note According to </w:t>
      </w:r>
      <w:r w:rsidR="0064463A">
        <w:t xml:space="preserve">the Department for Work and Pensions over </w:t>
      </w:r>
      <w:r>
        <w:t>7m working people report a disability 60</w:t>
      </w:r>
      <w:r w:rsidR="0064463A">
        <w:t>% o</w:t>
      </w:r>
      <w:r>
        <w:t xml:space="preserve">f </w:t>
      </w:r>
      <w:r w:rsidR="00562E25">
        <w:t>who</w:t>
      </w:r>
      <w:r w:rsidR="0064463A">
        <w:t>m</w:t>
      </w:r>
      <w:r>
        <w:t xml:space="preserve"> are economically active. ACAS state 15% of the population are Neurodiverse this equates to 6.3m people 70% of whom are economically active. Neurodivergent people while meeting government definitions of disability frequently do not identify as having a disability. They are therefore rarely acknowledged in official disability statistics. </w:t>
      </w:r>
      <w:bookmarkEnd w:id="1"/>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E16B6B"/>
    <w:multiLevelType w:val="multilevel"/>
    <w:tmpl w:val="07E16B6B"/>
    <w:lvl w:ilvl="0">
      <w:start w:val="1"/>
      <w:numFmt w:val="bullet"/>
      <w:lvlText w:val=""/>
      <w:lvlJc w:val="left"/>
      <w:pPr>
        <w:ind w:left="770" w:hanging="360"/>
      </w:pPr>
      <w:rPr>
        <w:rFonts w:ascii="Symbol" w:hAnsi="Symbol" w:hint="default"/>
      </w:rPr>
    </w:lvl>
    <w:lvl w:ilvl="1">
      <w:start w:val="1"/>
      <w:numFmt w:val="bullet"/>
      <w:lvlText w:val="o"/>
      <w:lvlJc w:val="left"/>
      <w:pPr>
        <w:ind w:left="1490" w:hanging="360"/>
      </w:pPr>
      <w:rPr>
        <w:rFonts w:ascii="Courier New" w:hAnsi="Courier New" w:cs="Courier New" w:hint="default"/>
      </w:rPr>
    </w:lvl>
    <w:lvl w:ilvl="2">
      <w:start w:val="1"/>
      <w:numFmt w:val="bullet"/>
      <w:lvlText w:val=""/>
      <w:lvlJc w:val="left"/>
      <w:pPr>
        <w:ind w:left="2210" w:hanging="360"/>
      </w:pPr>
      <w:rPr>
        <w:rFonts w:ascii="Wingdings" w:hAnsi="Wingdings" w:hint="default"/>
      </w:rPr>
    </w:lvl>
    <w:lvl w:ilvl="3">
      <w:start w:val="1"/>
      <w:numFmt w:val="bullet"/>
      <w:lvlText w:val=""/>
      <w:lvlJc w:val="left"/>
      <w:pPr>
        <w:ind w:left="2930" w:hanging="360"/>
      </w:pPr>
      <w:rPr>
        <w:rFonts w:ascii="Symbol" w:hAnsi="Symbol" w:hint="default"/>
      </w:rPr>
    </w:lvl>
    <w:lvl w:ilvl="4">
      <w:start w:val="1"/>
      <w:numFmt w:val="bullet"/>
      <w:lvlText w:val="o"/>
      <w:lvlJc w:val="left"/>
      <w:pPr>
        <w:ind w:left="3650" w:hanging="360"/>
      </w:pPr>
      <w:rPr>
        <w:rFonts w:ascii="Courier New" w:hAnsi="Courier New" w:cs="Courier New" w:hint="default"/>
      </w:rPr>
    </w:lvl>
    <w:lvl w:ilvl="5">
      <w:start w:val="1"/>
      <w:numFmt w:val="bullet"/>
      <w:lvlText w:val=""/>
      <w:lvlJc w:val="left"/>
      <w:pPr>
        <w:ind w:left="4370" w:hanging="360"/>
      </w:pPr>
      <w:rPr>
        <w:rFonts w:ascii="Wingdings" w:hAnsi="Wingdings" w:hint="default"/>
      </w:rPr>
    </w:lvl>
    <w:lvl w:ilvl="6">
      <w:start w:val="1"/>
      <w:numFmt w:val="bullet"/>
      <w:lvlText w:val=""/>
      <w:lvlJc w:val="left"/>
      <w:pPr>
        <w:ind w:left="5090" w:hanging="360"/>
      </w:pPr>
      <w:rPr>
        <w:rFonts w:ascii="Symbol" w:hAnsi="Symbol" w:hint="default"/>
      </w:rPr>
    </w:lvl>
    <w:lvl w:ilvl="7">
      <w:start w:val="1"/>
      <w:numFmt w:val="bullet"/>
      <w:lvlText w:val="o"/>
      <w:lvlJc w:val="left"/>
      <w:pPr>
        <w:ind w:left="5810" w:hanging="360"/>
      </w:pPr>
      <w:rPr>
        <w:rFonts w:ascii="Courier New" w:hAnsi="Courier New" w:cs="Courier New" w:hint="default"/>
      </w:rPr>
    </w:lvl>
    <w:lvl w:ilvl="8">
      <w:start w:val="1"/>
      <w:numFmt w:val="bullet"/>
      <w:lvlText w:val=""/>
      <w:lvlJc w:val="left"/>
      <w:pPr>
        <w:ind w:left="6530" w:hanging="360"/>
      </w:pPr>
      <w:rPr>
        <w:rFonts w:ascii="Wingdings" w:hAnsi="Wingdings" w:hint="default"/>
      </w:rPr>
    </w:lvl>
  </w:abstractNum>
  <w:abstractNum w:abstractNumId="1" w15:restartNumberingAfterBreak="0">
    <w:nsid w:val="100E2483"/>
    <w:multiLevelType w:val="hybridMultilevel"/>
    <w:tmpl w:val="0004F0A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1B2312"/>
    <w:multiLevelType w:val="multilevel"/>
    <w:tmpl w:val="171B2312"/>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A7C55DB"/>
    <w:multiLevelType w:val="multilevel"/>
    <w:tmpl w:val="3A7C55D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64665F6B"/>
    <w:multiLevelType w:val="hybridMultilevel"/>
    <w:tmpl w:val="E0DAB53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4FD7844"/>
    <w:multiLevelType w:val="multilevel"/>
    <w:tmpl w:val="64FD784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744788790">
    <w:abstractNumId w:val="2"/>
  </w:num>
  <w:num w:numId="2" w16cid:durableId="1528907977">
    <w:abstractNumId w:val="0"/>
  </w:num>
  <w:num w:numId="3" w16cid:durableId="1961034350">
    <w:abstractNumId w:val="3"/>
  </w:num>
  <w:num w:numId="4" w16cid:durableId="347104939">
    <w:abstractNumId w:val="5"/>
  </w:num>
  <w:num w:numId="5" w16cid:durableId="371809776">
    <w:abstractNumId w:val="1"/>
  </w:num>
  <w:num w:numId="6" w16cid:durableId="5511128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032"/>
    <w:rsid w:val="00022D14"/>
    <w:rsid w:val="00030280"/>
    <w:rsid w:val="00044E55"/>
    <w:rsid w:val="00072D85"/>
    <w:rsid w:val="00076F06"/>
    <w:rsid w:val="00084CEA"/>
    <w:rsid w:val="000902BB"/>
    <w:rsid w:val="000C5A5C"/>
    <w:rsid w:val="000D05C4"/>
    <w:rsid w:val="000D2666"/>
    <w:rsid w:val="0010696F"/>
    <w:rsid w:val="001454AE"/>
    <w:rsid w:val="001719C3"/>
    <w:rsid w:val="00180C1F"/>
    <w:rsid w:val="001B3F33"/>
    <w:rsid w:val="001C7530"/>
    <w:rsid w:val="001D4F1E"/>
    <w:rsid w:val="001D6ED3"/>
    <w:rsid w:val="002314BF"/>
    <w:rsid w:val="00240130"/>
    <w:rsid w:val="00253C25"/>
    <w:rsid w:val="00271F62"/>
    <w:rsid w:val="00282A61"/>
    <w:rsid w:val="002A4175"/>
    <w:rsid w:val="002B0FEA"/>
    <w:rsid w:val="002D4646"/>
    <w:rsid w:val="002E0540"/>
    <w:rsid w:val="002F6318"/>
    <w:rsid w:val="00303CF7"/>
    <w:rsid w:val="00325F33"/>
    <w:rsid w:val="00332A4D"/>
    <w:rsid w:val="00344F5D"/>
    <w:rsid w:val="00347852"/>
    <w:rsid w:val="00366747"/>
    <w:rsid w:val="00382F84"/>
    <w:rsid w:val="00383DC2"/>
    <w:rsid w:val="003957AB"/>
    <w:rsid w:val="0039592F"/>
    <w:rsid w:val="003F2C5C"/>
    <w:rsid w:val="00402908"/>
    <w:rsid w:val="00416136"/>
    <w:rsid w:val="00437F1A"/>
    <w:rsid w:val="00462B5E"/>
    <w:rsid w:val="00466F25"/>
    <w:rsid w:val="004704EE"/>
    <w:rsid w:val="00485095"/>
    <w:rsid w:val="004A1C72"/>
    <w:rsid w:val="004A2DED"/>
    <w:rsid w:val="004C3D46"/>
    <w:rsid w:val="004C4661"/>
    <w:rsid w:val="004D5BC2"/>
    <w:rsid w:val="004F6E94"/>
    <w:rsid w:val="0052206E"/>
    <w:rsid w:val="00524713"/>
    <w:rsid w:val="00561ECE"/>
    <w:rsid w:val="00562E25"/>
    <w:rsid w:val="00563864"/>
    <w:rsid w:val="00563C08"/>
    <w:rsid w:val="005B395B"/>
    <w:rsid w:val="005C4A95"/>
    <w:rsid w:val="005F46E0"/>
    <w:rsid w:val="005F7515"/>
    <w:rsid w:val="006026CD"/>
    <w:rsid w:val="00630EA8"/>
    <w:rsid w:val="006314F4"/>
    <w:rsid w:val="006366DB"/>
    <w:rsid w:val="0064463A"/>
    <w:rsid w:val="006449F6"/>
    <w:rsid w:val="00694CB9"/>
    <w:rsid w:val="00695FA0"/>
    <w:rsid w:val="006B6908"/>
    <w:rsid w:val="006C62AF"/>
    <w:rsid w:val="006D3FBF"/>
    <w:rsid w:val="007153AB"/>
    <w:rsid w:val="0071596A"/>
    <w:rsid w:val="007216AE"/>
    <w:rsid w:val="00724870"/>
    <w:rsid w:val="00741B8C"/>
    <w:rsid w:val="0075675F"/>
    <w:rsid w:val="007A69DD"/>
    <w:rsid w:val="007C0E90"/>
    <w:rsid w:val="007D7853"/>
    <w:rsid w:val="007E4B63"/>
    <w:rsid w:val="00816266"/>
    <w:rsid w:val="008239AE"/>
    <w:rsid w:val="00844E00"/>
    <w:rsid w:val="0085129F"/>
    <w:rsid w:val="00873BAC"/>
    <w:rsid w:val="00873D46"/>
    <w:rsid w:val="00897DD6"/>
    <w:rsid w:val="008D15DA"/>
    <w:rsid w:val="008F0CB3"/>
    <w:rsid w:val="008F20FC"/>
    <w:rsid w:val="00902A1C"/>
    <w:rsid w:val="00931A21"/>
    <w:rsid w:val="00937632"/>
    <w:rsid w:val="00945F54"/>
    <w:rsid w:val="00954C15"/>
    <w:rsid w:val="00957012"/>
    <w:rsid w:val="00966ABA"/>
    <w:rsid w:val="009A21F4"/>
    <w:rsid w:val="009C6ECF"/>
    <w:rsid w:val="009E66D8"/>
    <w:rsid w:val="009E7AEE"/>
    <w:rsid w:val="00A34441"/>
    <w:rsid w:val="00A43874"/>
    <w:rsid w:val="00A52CED"/>
    <w:rsid w:val="00A60456"/>
    <w:rsid w:val="00AD34B0"/>
    <w:rsid w:val="00AD3A6C"/>
    <w:rsid w:val="00AE2FD2"/>
    <w:rsid w:val="00AE3482"/>
    <w:rsid w:val="00AF3F1E"/>
    <w:rsid w:val="00AF5262"/>
    <w:rsid w:val="00AF53AB"/>
    <w:rsid w:val="00B04FF3"/>
    <w:rsid w:val="00B23EA8"/>
    <w:rsid w:val="00B406B3"/>
    <w:rsid w:val="00B46277"/>
    <w:rsid w:val="00B52A4F"/>
    <w:rsid w:val="00B711E3"/>
    <w:rsid w:val="00B803A9"/>
    <w:rsid w:val="00BA3131"/>
    <w:rsid w:val="00BB1124"/>
    <w:rsid w:val="00BC7876"/>
    <w:rsid w:val="00BE4386"/>
    <w:rsid w:val="00BF1B1C"/>
    <w:rsid w:val="00BF7032"/>
    <w:rsid w:val="00C3122B"/>
    <w:rsid w:val="00C54230"/>
    <w:rsid w:val="00C75DA5"/>
    <w:rsid w:val="00C8279A"/>
    <w:rsid w:val="00CB139B"/>
    <w:rsid w:val="00CD5C46"/>
    <w:rsid w:val="00CE4443"/>
    <w:rsid w:val="00CE66C8"/>
    <w:rsid w:val="00CF1F5B"/>
    <w:rsid w:val="00CF2271"/>
    <w:rsid w:val="00D07FF8"/>
    <w:rsid w:val="00D33DE9"/>
    <w:rsid w:val="00D55657"/>
    <w:rsid w:val="00DB27D6"/>
    <w:rsid w:val="00DD4D07"/>
    <w:rsid w:val="00E047B3"/>
    <w:rsid w:val="00E34842"/>
    <w:rsid w:val="00E532C1"/>
    <w:rsid w:val="00E62466"/>
    <w:rsid w:val="00E8112B"/>
    <w:rsid w:val="00EA1AF2"/>
    <w:rsid w:val="00EC5E52"/>
    <w:rsid w:val="00F17C4C"/>
    <w:rsid w:val="00F25AF0"/>
    <w:rsid w:val="00F27B11"/>
    <w:rsid w:val="00F66A4E"/>
    <w:rsid w:val="00F80533"/>
    <w:rsid w:val="00F80572"/>
    <w:rsid w:val="00F876FC"/>
    <w:rsid w:val="00FD0739"/>
    <w:rsid w:val="00FD27C2"/>
    <w:rsid w:val="00FE2BBC"/>
    <w:rsid w:val="00FE5549"/>
    <w:rsid w:val="00FE5AEF"/>
    <w:rsid w:val="00FF3783"/>
    <w:rsid w:val="00FF6A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BADC2"/>
  <w15:chartTrackingRefBased/>
  <w15:docId w15:val="{F6479E88-0CFF-4F9E-BA2A-4F1291951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7032"/>
  </w:style>
  <w:style w:type="paragraph" w:styleId="Heading1">
    <w:name w:val="heading 1"/>
    <w:basedOn w:val="Normal"/>
    <w:next w:val="Normal"/>
    <w:link w:val="Heading1Char"/>
    <w:uiPriority w:val="9"/>
    <w:qFormat/>
    <w:rsid w:val="00022D14"/>
    <w:pPr>
      <w:keepNext/>
      <w:keepLines/>
      <w:spacing w:before="240" w:after="0"/>
      <w:outlineLvl w:val="0"/>
    </w:pPr>
    <w:rPr>
      <w:rFonts w:asciiTheme="majorHAnsi" w:eastAsiaTheme="majorEastAsia" w:hAnsiTheme="majorHAnsi" w:cstheme="majorBidi"/>
      <w:color w:val="2F5496" w:themeColor="accent1" w:themeShade="BF"/>
      <w:sz w:val="32"/>
      <w:szCs w:val="32"/>
      <w:lang w:val="en-US"/>
    </w:rPr>
  </w:style>
  <w:style w:type="paragraph" w:styleId="Heading2">
    <w:name w:val="heading 2"/>
    <w:basedOn w:val="Normal"/>
    <w:next w:val="Normal"/>
    <w:link w:val="Heading2Char"/>
    <w:uiPriority w:val="9"/>
    <w:unhideWhenUsed/>
    <w:qFormat/>
    <w:rsid w:val="004D5BC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BF7032"/>
    <w:pPr>
      <w:spacing w:line="240" w:lineRule="auto"/>
    </w:pPr>
    <w:rPr>
      <w:sz w:val="20"/>
      <w:szCs w:val="20"/>
    </w:rPr>
  </w:style>
  <w:style w:type="character" w:customStyle="1" w:styleId="CommentTextChar">
    <w:name w:val="Comment Text Char"/>
    <w:basedOn w:val="DefaultParagraphFont"/>
    <w:link w:val="CommentText"/>
    <w:uiPriority w:val="99"/>
    <w:semiHidden/>
    <w:rsid w:val="00BF7032"/>
    <w:rPr>
      <w:sz w:val="20"/>
      <w:szCs w:val="20"/>
    </w:rPr>
  </w:style>
  <w:style w:type="paragraph" w:styleId="EndnoteText">
    <w:name w:val="endnote text"/>
    <w:basedOn w:val="Normal"/>
    <w:link w:val="EndnoteTextChar"/>
    <w:uiPriority w:val="99"/>
    <w:unhideWhenUsed/>
    <w:rsid w:val="00BF7032"/>
    <w:pPr>
      <w:spacing w:after="0" w:line="240" w:lineRule="auto"/>
    </w:pPr>
    <w:rPr>
      <w:sz w:val="20"/>
      <w:szCs w:val="20"/>
    </w:rPr>
  </w:style>
  <w:style w:type="character" w:customStyle="1" w:styleId="EndnoteTextChar">
    <w:name w:val="Endnote Text Char"/>
    <w:basedOn w:val="DefaultParagraphFont"/>
    <w:link w:val="EndnoteText"/>
    <w:uiPriority w:val="99"/>
    <w:rsid w:val="00BF7032"/>
    <w:rPr>
      <w:sz w:val="20"/>
      <w:szCs w:val="20"/>
    </w:rPr>
  </w:style>
  <w:style w:type="paragraph" w:styleId="Footer">
    <w:name w:val="footer"/>
    <w:basedOn w:val="Normal"/>
    <w:link w:val="FooterChar"/>
    <w:uiPriority w:val="99"/>
    <w:unhideWhenUsed/>
    <w:rsid w:val="00BF70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7032"/>
  </w:style>
  <w:style w:type="character" w:styleId="CommentReference">
    <w:name w:val="annotation reference"/>
    <w:basedOn w:val="DefaultParagraphFont"/>
    <w:uiPriority w:val="99"/>
    <w:semiHidden/>
    <w:unhideWhenUsed/>
    <w:rsid w:val="00BF7032"/>
    <w:rPr>
      <w:sz w:val="16"/>
      <w:szCs w:val="16"/>
    </w:rPr>
  </w:style>
  <w:style w:type="character" w:styleId="EndnoteReference">
    <w:name w:val="endnote reference"/>
    <w:basedOn w:val="DefaultParagraphFont"/>
    <w:uiPriority w:val="99"/>
    <w:semiHidden/>
    <w:unhideWhenUsed/>
    <w:rsid w:val="00BF7032"/>
    <w:rPr>
      <w:vertAlign w:val="superscript"/>
    </w:rPr>
  </w:style>
  <w:style w:type="character" w:styleId="Hyperlink">
    <w:name w:val="Hyperlink"/>
    <w:basedOn w:val="DefaultParagraphFont"/>
    <w:uiPriority w:val="99"/>
    <w:unhideWhenUsed/>
    <w:rsid w:val="00BF7032"/>
    <w:rPr>
      <w:color w:val="0563C1" w:themeColor="hyperlink"/>
      <w:u w:val="single"/>
    </w:rPr>
  </w:style>
  <w:style w:type="character" w:styleId="PageNumber">
    <w:name w:val="page number"/>
    <w:basedOn w:val="DefaultParagraphFont"/>
    <w:uiPriority w:val="99"/>
    <w:semiHidden/>
    <w:unhideWhenUsed/>
    <w:rsid w:val="00BF7032"/>
  </w:style>
  <w:style w:type="table" w:styleId="TableGrid">
    <w:name w:val="Table Grid"/>
    <w:basedOn w:val="TableNormal"/>
    <w:uiPriority w:val="39"/>
    <w:rsid w:val="00BF7032"/>
    <w:pPr>
      <w:spacing w:after="0" w:line="240" w:lineRule="auto"/>
    </w:pPr>
    <w:rPr>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F7032"/>
    <w:pPr>
      <w:ind w:left="720"/>
      <w:contextualSpacing/>
    </w:pPr>
  </w:style>
  <w:style w:type="paragraph" w:styleId="Bibliography">
    <w:name w:val="Bibliography"/>
    <w:basedOn w:val="Normal"/>
    <w:next w:val="Normal"/>
    <w:uiPriority w:val="37"/>
    <w:unhideWhenUsed/>
    <w:rsid w:val="00931A21"/>
  </w:style>
  <w:style w:type="character" w:styleId="UnresolvedMention">
    <w:name w:val="Unresolved Mention"/>
    <w:basedOn w:val="DefaultParagraphFont"/>
    <w:uiPriority w:val="99"/>
    <w:semiHidden/>
    <w:unhideWhenUsed/>
    <w:rsid w:val="00931A21"/>
    <w:rPr>
      <w:color w:val="605E5C"/>
      <w:shd w:val="clear" w:color="auto" w:fill="E1DFDD"/>
    </w:rPr>
  </w:style>
  <w:style w:type="character" w:styleId="FollowedHyperlink">
    <w:name w:val="FollowedHyperlink"/>
    <w:basedOn w:val="DefaultParagraphFont"/>
    <w:uiPriority w:val="99"/>
    <w:semiHidden/>
    <w:unhideWhenUsed/>
    <w:rsid w:val="006C62AF"/>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466F25"/>
    <w:rPr>
      <w:b/>
      <w:bCs/>
    </w:rPr>
  </w:style>
  <w:style w:type="character" w:customStyle="1" w:styleId="CommentSubjectChar">
    <w:name w:val="Comment Subject Char"/>
    <w:basedOn w:val="CommentTextChar"/>
    <w:link w:val="CommentSubject"/>
    <w:uiPriority w:val="99"/>
    <w:semiHidden/>
    <w:rsid w:val="00466F25"/>
    <w:rPr>
      <w:b/>
      <w:bCs/>
      <w:sz w:val="20"/>
      <w:szCs w:val="20"/>
    </w:rPr>
  </w:style>
  <w:style w:type="paragraph" w:styleId="FootnoteText">
    <w:name w:val="footnote text"/>
    <w:basedOn w:val="Normal"/>
    <w:link w:val="FootnoteTextChar"/>
    <w:uiPriority w:val="99"/>
    <w:semiHidden/>
    <w:unhideWhenUsed/>
    <w:rsid w:val="00303CF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03CF7"/>
    <w:rPr>
      <w:sz w:val="20"/>
      <w:szCs w:val="20"/>
    </w:rPr>
  </w:style>
  <w:style w:type="character" w:styleId="FootnoteReference">
    <w:name w:val="footnote reference"/>
    <w:basedOn w:val="DefaultParagraphFont"/>
    <w:uiPriority w:val="99"/>
    <w:semiHidden/>
    <w:unhideWhenUsed/>
    <w:rsid w:val="00303CF7"/>
    <w:rPr>
      <w:vertAlign w:val="superscript"/>
    </w:rPr>
  </w:style>
  <w:style w:type="character" w:customStyle="1" w:styleId="Heading1Char">
    <w:name w:val="Heading 1 Char"/>
    <w:basedOn w:val="DefaultParagraphFont"/>
    <w:link w:val="Heading1"/>
    <w:uiPriority w:val="9"/>
    <w:rsid w:val="00022D14"/>
    <w:rPr>
      <w:rFonts w:asciiTheme="majorHAnsi" w:eastAsiaTheme="majorEastAsia" w:hAnsiTheme="majorHAnsi" w:cstheme="majorBidi"/>
      <w:color w:val="2F5496" w:themeColor="accent1" w:themeShade="BF"/>
      <w:sz w:val="32"/>
      <w:szCs w:val="32"/>
      <w:lang w:val="en-US"/>
    </w:rPr>
  </w:style>
  <w:style w:type="character" w:customStyle="1" w:styleId="Heading2Char">
    <w:name w:val="Heading 2 Char"/>
    <w:basedOn w:val="DefaultParagraphFont"/>
    <w:link w:val="Heading2"/>
    <w:uiPriority w:val="9"/>
    <w:rsid w:val="004D5BC2"/>
    <w:rPr>
      <w:rFonts w:asciiTheme="majorHAnsi" w:eastAsiaTheme="majorEastAsia" w:hAnsiTheme="majorHAnsi" w:cstheme="majorBidi"/>
      <w:color w:val="2F5496" w:themeColor="accent1" w:themeShade="BF"/>
      <w:sz w:val="26"/>
      <w:szCs w:val="26"/>
    </w:rPr>
  </w:style>
  <w:style w:type="paragraph" w:styleId="Title">
    <w:name w:val="Title"/>
    <w:basedOn w:val="Normal"/>
    <w:next w:val="Normal"/>
    <w:link w:val="TitleChar"/>
    <w:uiPriority w:val="10"/>
    <w:qFormat/>
    <w:rsid w:val="004D5BC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5BC2"/>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89142">
      <w:bodyDiv w:val="1"/>
      <w:marLeft w:val="0"/>
      <w:marRight w:val="0"/>
      <w:marTop w:val="0"/>
      <w:marBottom w:val="0"/>
      <w:divBdr>
        <w:top w:val="none" w:sz="0" w:space="0" w:color="auto"/>
        <w:left w:val="none" w:sz="0" w:space="0" w:color="auto"/>
        <w:bottom w:val="none" w:sz="0" w:space="0" w:color="auto"/>
        <w:right w:val="none" w:sz="0" w:space="0" w:color="auto"/>
      </w:divBdr>
    </w:div>
    <w:div w:id="25916025">
      <w:bodyDiv w:val="1"/>
      <w:marLeft w:val="0"/>
      <w:marRight w:val="0"/>
      <w:marTop w:val="0"/>
      <w:marBottom w:val="0"/>
      <w:divBdr>
        <w:top w:val="none" w:sz="0" w:space="0" w:color="auto"/>
        <w:left w:val="none" w:sz="0" w:space="0" w:color="auto"/>
        <w:bottom w:val="none" w:sz="0" w:space="0" w:color="auto"/>
        <w:right w:val="none" w:sz="0" w:space="0" w:color="auto"/>
      </w:divBdr>
    </w:div>
    <w:div w:id="27028241">
      <w:bodyDiv w:val="1"/>
      <w:marLeft w:val="0"/>
      <w:marRight w:val="0"/>
      <w:marTop w:val="0"/>
      <w:marBottom w:val="0"/>
      <w:divBdr>
        <w:top w:val="none" w:sz="0" w:space="0" w:color="auto"/>
        <w:left w:val="none" w:sz="0" w:space="0" w:color="auto"/>
        <w:bottom w:val="none" w:sz="0" w:space="0" w:color="auto"/>
        <w:right w:val="none" w:sz="0" w:space="0" w:color="auto"/>
      </w:divBdr>
    </w:div>
    <w:div w:id="39012279">
      <w:bodyDiv w:val="1"/>
      <w:marLeft w:val="0"/>
      <w:marRight w:val="0"/>
      <w:marTop w:val="0"/>
      <w:marBottom w:val="0"/>
      <w:divBdr>
        <w:top w:val="none" w:sz="0" w:space="0" w:color="auto"/>
        <w:left w:val="none" w:sz="0" w:space="0" w:color="auto"/>
        <w:bottom w:val="none" w:sz="0" w:space="0" w:color="auto"/>
        <w:right w:val="none" w:sz="0" w:space="0" w:color="auto"/>
      </w:divBdr>
    </w:div>
    <w:div w:id="40133336">
      <w:bodyDiv w:val="1"/>
      <w:marLeft w:val="0"/>
      <w:marRight w:val="0"/>
      <w:marTop w:val="0"/>
      <w:marBottom w:val="0"/>
      <w:divBdr>
        <w:top w:val="none" w:sz="0" w:space="0" w:color="auto"/>
        <w:left w:val="none" w:sz="0" w:space="0" w:color="auto"/>
        <w:bottom w:val="none" w:sz="0" w:space="0" w:color="auto"/>
        <w:right w:val="none" w:sz="0" w:space="0" w:color="auto"/>
      </w:divBdr>
    </w:div>
    <w:div w:id="50856344">
      <w:bodyDiv w:val="1"/>
      <w:marLeft w:val="0"/>
      <w:marRight w:val="0"/>
      <w:marTop w:val="0"/>
      <w:marBottom w:val="0"/>
      <w:divBdr>
        <w:top w:val="none" w:sz="0" w:space="0" w:color="auto"/>
        <w:left w:val="none" w:sz="0" w:space="0" w:color="auto"/>
        <w:bottom w:val="none" w:sz="0" w:space="0" w:color="auto"/>
        <w:right w:val="none" w:sz="0" w:space="0" w:color="auto"/>
      </w:divBdr>
    </w:div>
    <w:div w:id="55706503">
      <w:bodyDiv w:val="1"/>
      <w:marLeft w:val="0"/>
      <w:marRight w:val="0"/>
      <w:marTop w:val="0"/>
      <w:marBottom w:val="0"/>
      <w:divBdr>
        <w:top w:val="none" w:sz="0" w:space="0" w:color="auto"/>
        <w:left w:val="none" w:sz="0" w:space="0" w:color="auto"/>
        <w:bottom w:val="none" w:sz="0" w:space="0" w:color="auto"/>
        <w:right w:val="none" w:sz="0" w:space="0" w:color="auto"/>
      </w:divBdr>
    </w:div>
    <w:div w:id="56637143">
      <w:bodyDiv w:val="1"/>
      <w:marLeft w:val="0"/>
      <w:marRight w:val="0"/>
      <w:marTop w:val="0"/>
      <w:marBottom w:val="0"/>
      <w:divBdr>
        <w:top w:val="none" w:sz="0" w:space="0" w:color="auto"/>
        <w:left w:val="none" w:sz="0" w:space="0" w:color="auto"/>
        <w:bottom w:val="none" w:sz="0" w:space="0" w:color="auto"/>
        <w:right w:val="none" w:sz="0" w:space="0" w:color="auto"/>
      </w:divBdr>
    </w:div>
    <w:div w:id="65538822">
      <w:bodyDiv w:val="1"/>
      <w:marLeft w:val="0"/>
      <w:marRight w:val="0"/>
      <w:marTop w:val="0"/>
      <w:marBottom w:val="0"/>
      <w:divBdr>
        <w:top w:val="none" w:sz="0" w:space="0" w:color="auto"/>
        <w:left w:val="none" w:sz="0" w:space="0" w:color="auto"/>
        <w:bottom w:val="none" w:sz="0" w:space="0" w:color="auto"/>
        <w:right w:val="none" w:sz="0" w:space="0" w:color="auto"/>
      </w:divBdr>
    </w:div>
    <w:div w:id="66222597">
      <w:bodyDiv w:val="1"/>
      <w:marLeft w:val="0"/>
      <w:marRight w:val="0"/>
      <w:marTop w:val="0"/>
      <w:marBottom w:val="0"/>
      <w:divBdr>
        <w:top w:val="none" w:sz="0" w:space="0" w:color="auto"/>
        <w:left w:val="none" w:sz="0" w:space="0" w:color="auto"/>
        <w:bottom w:val="none" w:sz="0" w:space="0" w:color="auto"/>
        <w:right w:val="none" w:sz="0" w:space="0" w:color="auto"/>
      </w:divBdr>
    </w:div>
    <w:div w:id="67197616">
      <w:bodyDiv w:val="1"/>
      <w:marLeft w:val="0"/>
      <w:marRight w:val="0"/>
      <w:marTop w:val="0"/>
      <w:marBottom w:val="0"/>
      <w:divBdr>
        <w:top w:val="none" w:sz="0" w:space="0" w:color="auto"/>
        <w:left w:val="none" w:sz="0" w:space="0" w:color="auto"/>
        <w:bottom w:val="none" w:sz="0" w:space="0" w:color="auto"/>
        <w:right w:val="none" w:sz="0" w:space="0" w:color="auto"/>
      </w:divBdr>
    </w:div>
    <w:div w:id="83962099">
      <w:bodyDiv w:val="1"/>
      <w:marLeft w:val="0"/>
      <w:marRight w:val="0"/>
      <w:marTop w:val="0"/>
      <w:marBottom w:val="0"/>
      <w:divBdr>
        <w:top w:val="none" w:sz="0" w:space="0" w:color="auto"/>
        <w:left w:val="none" w:sz="0" w:space="0" w:color="auto"/>
        <w:bottom w:val="none" w:sz="0" w:space="0" w:color="auto"/>
        <w:right w:val="none" w:sz="0" w:space="0" w:color="auto"/>
      </w:divBdr>
    </w:div>
    <w:div w:id="84108487">
      <w:bodyDiv w:val="1"/>
      <w:marLeft w:val="0"/>
      <w:marRight w:val="0"/>
      <w:marTop w:val="0"/>
      <w:marBottom w:val="0"/>
      <w:divBdr>
        <w:top w:val="none" w:sz="0" w:space="0" w:color="auto"/>
        <w:left w:val="none" w:sz="0" w:space="0" w:color="auto"/>
        <w:bottom w:val="none" w:sz="0" w:space="0" w:color="auto"/>
        <w:right w:val="none" w:sz="0" w:space="0" w:color="auto"/>
      </w:divBdr>
    </w:div>
    <w:div w:id="89201869">
      <w:bodyDiv w:val="1"/>
      <w:marLeft w:val="0"/>
      <w:marRight w:val="0"/>
      <w:marTop w:val="0"/>
      <w:marBottom w:val="0"/>
      <w:divBdr>
        <w:top w:val="none" w:sz="0" w:space="0" w:color="auto"/>
        <w:left w:val="none" w:sz="0" w:space="0" w:color="auto"/>
        <w:bottom w:val="none" w:sz="0" w:space="0" w:color="auto"/>
        <w:right w:val="none" w:sz="0" w:space="0" w:color="auto"/>
      </w:divBdr>
    </w:div>
    <w:div w:id="91438362">
      <w:bodyDiv w:val="1"/>
      <w:marLeft w:val="0"/>
      <w:marRight w:val="0"/>
      <w:marTop w:val="0"/>
      <w:marBottom w:val="0"/>
      <w:divBdr>
        <w:top w:val="none" w:sz="0" w:space="0" w:color="auto"/>
        <w:left w:val="none" w:sz="0" w:space="0" w:color="auto"/>
        <w:bottom w:val="none" w:sz="0" w:space="0" w:color="auto"/>
        <w:right w:val="none" w:sz="0" w:space="0" w:color="auto"/>
      </w:divBdr>
    </w:div>
    <w:div w:id="96995847">
      <w:bodyDiv w:val="1"/>
      <w:marLeft w:val="0"/>
      <w:marRight w:val="0"/>
      <w:marTop w:val="0"/>
      <w:marBottom w:val="0"/>
      <w:divBdr>
        <w:top w:val="none" w:sz="0" w:space="0" w:color="auto"/>
        <w:left w:val="none" w:sz="0" w:space="0" w:color="auto"/>
        <w:bottom w:val="none" w:sz="0" w:space="0" w:color="auto"/>
        <w:right w:val="none" w:sz="0" w:space="0" w:color="auto"/>
      </w:divBdr>
    </w:div>
    <w:div w:id="103815360">
      <w:bodyDiv w:val="1"/>
      <w:marLeft w:val="0"/>
      <w:marRight w:val="0"/>
      <w:marTop w:val="0"/>
      <w:marBottom w:val="0"/>
      <w:divBdr>
        <w:top w:val="none" w:sz="0" w:space="0" w:color="auto"/>
        <w:left w:val="none" w:sz="0" w:space="0" w:color="auto"/>
        <w:bottom w:val="none" w:sz="0" w:space="0" w:color="auto"/>
        <w:right w:val="none" w:sz="0" w:space="0" w:color="auto"/>
      </w:divBdr>
    </w:div>
    <w:div w:id="111094936">
      <w:bodyDiv w:val="1"/>
      <w:marLeft w:val="0"/>
      <w:marRight w:val="0"/>
      <w:marTop w:val="0"/>
      <w:marBottom w:val="0"/>
      <w:divBdr>
        <w:top w:val="none" w:sz="0" w:space="0" w:color="auto"/>
        <w:left w:val="none" w:sz="0" w:space="0" w:color="auto"/>
        <w:bottom w:val="none" w:sz="0" w:space="0" w:color="auto"/>
        <w:right w:val="none" w:sz="0" w:space="0" w:color="auto"/>
      </w:divBdr>
    </w:div>
    <w:div w:id="113335569">
      <w:bodyDiv w:val="1"/>
      <w:marLeft w:val="0"/>
      <w:marRight w:val="0"/>
      <w:marTop w:val="0"/>
      <w:marBottom w:val="0"/>
      <w:divBdr>
        <w:top w:val="none" w:sz="0" w:space="0" w:color="auto"/>
        <w:left w:val="none" w:sz="0" w:space="0" w:color="auto"/>
        <w:bottom w:val="none" w:sz="0" w:space="0" w:color="auto"/>
        <w:right w:val="none" w:sz="0" w:space="0" w:color="auto"/>
      </w:divBdr>
    </w:div>
    <w:div w:id="114447045">
      <w:bodyDiv w:val="1"/>
      <w:marLeft w:val="0"/>
      <w:marRight w:val="0"/>
      <w:marTop w:val="0"/>
      <w:marBottom w:val="0"/>
      <w:divBdr>
        <w:top w:val="none" w:sz="0" w:space="0" w:color="auto"/>
        <w:left w:val="none" w:sz="0" w:space="0" w:color="auto"/>
        <w:bottom w:val="none" w:sz="0" w:space="0" w:color="auto"/>
        <w:right w:val="none" w:sz="0" w:space="0" w:color="auto"/>
      </w:divBdr>
    </w:div>
    <w:div w:id="116217360">
      <w:bodyDiv w:val="1"/>
      <w:marLeft w:val="0"/>
      <w:marRight w:val="0"/>
      <w:marTop w:val="0"/>
      <w:marBottom w:val="0"/>
      <w:divBdr>
        <w:top w:val="none" w:sz="0" w:space="0" w:color="auto"/>
        <w:left w:val="none" w:sz="0" w:space="0" w:color="auto"/>
        <w:bottom w:val="none" w:sz="0" w:space="0" w:color="auto"/>
        <w:right w:val="none" w:sz="0" w:space="0" w:color="auto"/>
      </w:divBdr>
    </w:div>
    <w:div w:id="125927252">
      <w:bodyDiv w:val="1"/>
      <w:marLeft w:val="0"/>
      <w:marRight w:val="0"/>
      <w:marTop w:val="0"/>
      <w:marBottom w:val="0"/>
      <w:divBdr>
        <w:top w:val="none" w:sz="0" w:space="0" w:color="auto"/>
        <w:left w:val="none" w:sz="0" w:space="0" w:color="auto"/>
        <w:bottom w:val="none" w:sz="0" w:space="0" w:color="auto"/>
        <w:right w:val="none" w:sz="0" w:space="0" w:color="auto"/>
      </w:divBdr>
    </w:div>
    <w:div w:id="137651510">
      <w:bodyDiv w:val="1"/>
      <w:marLeft w:val="0"/>
      <w:marRight w:val="0"/>
      <w:marTop w:val="0"/>
      <w:marBottom w:val="0"/>
      <w:divBdr>
        <w:top w:val="none" w:sz="0" w:space="0" w:color="auto"/>
        <w:left w:val="none" w:sz="0" w:space="0" w:color="auto"/>
        <w:bottom w:val="none" w:sz="0" w:space="0" w:color="auto"/>
        <w:right w:val="none" w:sz="0" w:space="0" w:color="auto"/>
      </w:divBdr>
    </w:div>
    <w:div w:id="142701567">
      <w:bodyDiv w:val="1"/>
      <w:marLeft w:val="0"/>
      <w:marRight w:val="0"/>
      <w:marTop w:val="0"/>
      <w:marBottom w:val="0"/>
      <w:divBdr>
        <w:top w:val="none" w:sz="0" w:space="0" w:color="auto"/>
        <w:left w:val="none" w:sz="0" w:space="0" w:color="auto"/>
        <w:bottom w:val="none" w:sz="0" w:space="0" w:color="auto"/>
        <w:right w:val="none" w:sz="0" w:space="0" w:color="auto"/>
      </w:divBdr>
    </w:div>
    <w:div w:id="144204225">
      <w:bodyDiv w:val="1"/>
      <w:marLeft w:val="0"/>
      <w:marRight w:val="0"/>
      <w:marTop w:val="0"/>
      <w:marBottom w:val="0"/>
      <w:divBdr>
        <w:top w:val="none" w:sz="0" w:space="0" w:color="auto"/>
        <w:left w:val="none" w:sz="0" w:space="0" w:color="auto"/>
        <w:bottom w:val="none" w:sz="0" w:space="0" w:color="auto"/>
        <w:right w:val="none" w:sz="0" w:space="0" w:color="auto"/>
      </w:divBdr>
    </w:div>
    <w:div w:id="153878796">
      <w:bodyDiv w:val="1"/>
      <w:marLeft w:val="0"/>
      <w:marRight w:val="0"/>
      <w:marTop w:val="0"/>
      <w:marBottom w:val="0"/>
      <w:divBdr>
        <w:top w:val="none" w:sz="0" w:space="0" w:color="auto"/>
        <w:left w:val="none" w:sz="0" w:space="0" w:color="auto"/>
        <w:bottom w:val="none" w:sz="0" w:space="0" w:color="auto"/>
        <w:right w:val="none" w:sz="0" w:space="0" w:color="auto"/>
      </w:divBdr>
    </w:div>
    <w:div w:id="156306930">
      <w:bodyDiv w:val="1"/>
      <w:marLeft w:val="0"/>
      <w:marRight w:val="0"/>
      <w:marTop w:val="0"/>
      <w:marBottom w:val="0"/>
      <w:divBdr>
        <w:top w:val="none" w:sz="0" w:space="0" w:color="auto"/>
        <w:left w:val="none" w:sz="0" w:space="0" w:color="auto"/>
        <w:bottom w:val="none" w:sz="0" w:space="0" w:color="auto"/>
        <w:right w:val="none" w:sz="0" w:space="0" w:color="auto"/>
      </w:divBdr>
    </w:div>
    <w:div w:id="165830546">
      <w:bodyDiv w:val="1"/>
      <w:marLeft w:val="0"/>
      <w:marRight w:val="0"/>
      <w:marTop w:val="0"/>
      <w:marBottom w:val="0"/>
      <w:divBdr>
        <w:top w:val="none" w:sz="0" w:space="0" w:color="auto"/>
        <w:left w:val="none" w:sz="0" w:space="0" w:color="auto"/>
        <w:bottom w:val="none" w:sz="0" w:space="0" w:color="auto"/>
        <w:right w:val="none" w:sz="0" w:space="0" w:color="auto"/>
      </w:divBdr>
    </w:div>
    <w:div w:id="177893884">
      <w:bodyDiv w:val="1"/>
      <w:marLeft w:val="0"/>
      <w:marRight w:val="0"/>
      <w:marTop w:val="0"/>
      <w:marBottom w:val="0"/>
      <w:divBdr>
        <w:top w:val="none" w:sz="0" w:space="0" w:color="auto"/>
        <w:left w:val="none" w:sz="0" w:space="0" w:color="auto"/>
        <w:bottom w:val="none" w:sz="0" w:space="0" w:color="auto"/>
        <w:right w:val="none" w:sz="0" w:space="0" w:color="auto"/>
      </w:divBdr>
    </w:div>
    <w:div w:id="178201984">
      <w:bodyDiv w:val="1"/>
      <w:marLeft w:val="0"/>
      <w:marRight w:val="0"/>
      <w:marTop w:val="0"/>
      <w:marBottom w:val="0"/>
      <w:divBdr>
        <w:top w:val="none" w:sz="0" w:space="0" w:color="auto"/>
        <w:left w:val="none" w:sz="0" w:space="0" w:color="auto"/>
        <w:bottom w:val="none" w:sz="0" w:space="0" w:color="auto"/>
        <w:right w:val="none" w:sz="0" w:space="0" w:color="auto"/>
      </w:divBdr>
    </w:div>
    <w:div w:id="180093469">
      <w:bodyDiv w:val="1"/>
      <w:marLeft w:val="0"/>
      <w:marRight w:val="0"/>
      <w:marTop w:val="0"/>
      <w:marBottom w:val="0"/>
      <w:divBdr>
        <w:top w:val="none" w:sz="0" w:space="0" w:color="auto"/>
        <w:left w:val="none" w:sz="0" w:space="0" w:color="auto"/>
        <w:bottom w:val="none" w:sz="0" w:space="0" w:color="auto"/>
        <w:right w:val="none" w:sz="0" w:space="0" w:color="auto"/>
      </w:divBdr>
    </w:div>
    <w:div w:id="189495284">
      <w:bodyDiv w:val="1"/>
      <w:marLeft w:val="0"/>
      <w:marRight w:val="0"/>
      <w:marTop w:val="0"/>
      <w:marBottom w:val="0"/>
      <w:divBdr>
        <w:top w:val="none" w:sz="0" w:space="0" w:color="auto"/>
        <w:left w:val="none" w:sz="0" w:space="0" w:color="auto"/>
        <w:bottom w:val="none" w:sz="0" w:space="0" w:color="auto"/>
        <w:right w:val="none" w:sz="0" w:space="0" w:color="auto"/>
      </w:divBdr>
    </w:div>
    <w:div w:id="192037841">
      <w:bodyDiv w:val="1"/>
      <w:marLeft w:val="0"/>
      <w:marRight w:val="0"/>
      <w:marTop w:val="0"/>
      <w:marBottom w:val="0"/>
      <w:divBdr>
        <w:top w:val="none" w:sz="0" w:space="0" w:color="auto"/>
        <w:left w:val="none" w:sz="0" w:space="0" w:color="auto"/>
        <w:bottom w:val="none" w:sz="0" w:space="0" w:color="auto"/>
        <w:right w:val="none" w:sz="0" w:space="0" w:color="auto"/>
      </w:divBdr>
    </w:div>
    <w:div w:id="196280532">
      <w:bodyDiv w:val="1"/>
      <w:marLeft w:val="0"/>
      <w:marRight w:val="0"/>
      <w:marTop w:val="0"/>
      <w:marBottom w:val="0"/>
      <w:divBdr>
        <w:top w:val="none" w:sz="0" w:space="0" w:color="auto"/>
        <w:left w:val="none" w:sz="0" w:space="0" w:color="auto"/>
        <w:bottom w:val="none" w:sz="0" w:space="0" w:color="auto"/>
        <w:right w:val="none" w:sz="0" w:space="0" w:color="auto"/>
      </w:divBdr>
    </w:div>
    <w:div w:id="201477790">
      <w:bodyDiv w:val="1"/>
      <w:marLeft w:val="0"/>
      <w:marRight w:val="0"/>
      <w:marTop w:val="0"/>
      <w:marBottom w:val="0"/>
      <w:divBdr>
        <w:top w:val="none" w:sz="0" w:space="0" w:color="auto"/>
        <w:left w:val="none" w:sz="0" w:space="0" w:color="auto"/>
        <w:bottom w:val="none" w:sz="0" w:space="0" w:color="auto"/>
        <w:right w:val="none" w:sz="0" w:space="0" w:color="auto"/>
      </w:divBdr>
    </w:div>
    <w:div w:id="238947656">
      <w:bodyDiv w:val="1"/>
      <w:marLeft w:val="0"/>
      <w:marRight w:val="0"/>
      <w:marTop w:val="0"/>
      <w:marBottom w:val="0"/>
      <w:divBdr>
        <w:top w:val="none" w:sz="0" w:space="0" w:color="auto"/>
        <w:left w:val="none" w:sz="0" w:space="0" w:color="auto"/>
        <w:bottom w:val="none" w:sz="0" w:space="0" w:color="auto"/>
        <w:right w:val="none" w:sz="0" w:space="0" w:color="auto"/>
      </w:divBdr>
    </w:div>
    <w:div w:id="239368550">
      <w:bodyDiv w:val="1"/>
      <w:marLeft w:val="0"/>
      <w:marRight w:val="0"/>
      <w:marTop w:val="0"/>
      <w:marBottom w:val="0"/>
      <w:divBdr>
        <w:top w:val="none" w:sz="0" w:space="0" w:color="auto"/>
        <w:left w:val="none" w:sz="0" w:space="0" w:color="auto"/>
        <w:bottom w:val="none" w:sz="0" w:space="0" w:color="auto"/>
        <w:right w:val="none" w:sz="0" w:space="0" w:color="auto"/>
      </w:divBdr>
    </w:div>
    <w:div w:id="242449769">
      <w:bodyDiv w:val="1"/>
      <w:marLeft w:val="0"/>
      <w:marRight w:val="0"/>
      <w:marTop w:val="0"/>
      <w:marBottom w:val="0"/>
      <w:divBdr>
        <w:top w:val="none" w:sz="0" w:space="0" w:color="auto"/>
        <w:left w:val="none" w:sz="0" w:space="0" w:color="auto"/>
        <w:bottom w:val="none" w:sz="0" w:space="0" w:color="auto"/>
        <w:right w:val="none" w:sz="0" w:space="0" w:color="auto"/>
      </w:divBdr>
    </w:div>
    <w:div w:id="245694694">
      <w:bodyDiv w:val="1"/>
      <w:marLeft w:val="0"/>
      <w:marRight w:val="0"/>
      <w:marTop w:val="0"/>
      <w:marBottom w:val="0"/>
      <w:divBdr>
        <w:top w:val="none" w:sz="0" w:space="0" w:color="auto"/>
        <w:left w:val="none" w:sz="0" w:space="0" w:color="auto"/>
        <w:bottom w:val="none" w:sz="0" w:space="0" w:color="auto"/>
        <w:right w:val="none" w:sz="0" w:space="0" w:color="auto"/>
      </w:divBdr>
    </w:div>
    <w:div w:id="248924116">
      <w:bodyDiv w:val="1"/>
      <w:marLeft w:val="0"/>
      <w:marRight w:val="0"/>
      <w:marTop w:val="0"/>
      <w:marBottom w:val="0"/>
      <w:divBdr>
        <w:top w:val="none" w:sz="0" w:space="0" w:color="auto"/>
        <w:left w:val="none" w:sz="0" w:space="0" w:color="auto"/>
        <w:bottom w:val="none" w:sz="0" w:space="0" w:color="auto"/>
        <w:right w:val="none" w:sz="0" w:space="0" w:color="auto"/>
      </w:divBdr>
    </w:div>
    <w:div w:id="252593397">
      <w:bodyDiv w:val="1"/>
      <w:marLeft w:val="0"/>
      <w:marRight w:val="0"/>
      <w:marTop w:val="0"/>
      <w:marBottom w:val="0"/>
      <w:divBdr>
        <w:top w:val="none" w:sz="0" w:space="0" w:color="auto"/>
        <w:left w:val="none" w:sz="0" w:space="0" w:color="auto"/>
        <w:bottom w:val="none" w:sz="0" w:space="0" w:color="auto"/>
        <w:right w:val="none" w:sz="0" w:space="0" w:color="auto"/>
      </w:divBdr>
    </w:div>
    <w:div w:id="253712806">
      <w:bodyDiv w:val="1"/>
      <w:marLeft w:val="0"/>
      <w:marRight w:val="0"/>
      <w:marTop w:val="0"/>
      <w:marBottom w:val="0"/>
      <w:divBdr>
        <w:top w:val="none" w:sz="0" w:space="0" w:color="auto"/>
        <w:left w:val="none" w:sz="0" w:space="0" w:color="auto"/>
        <w:bottom w:val="none" w:sz="0" w:space="0" w:color="auto"/>
        <w:right w:val="none" w:sz="0" w:space="0" w:color="auto"/>
      </w:divBdr>
    </w:div>
    <w:div w:id="258829613">
      <w:bodyDiv w:val="1"/>
      <w:marLeft w:val="0"/>
      <w:marRight w:val="0"/>
      <w:marTop w:val="0"/>
      <w:marBottom w:val="0"/>
      <w:divBdr>
        <w:top w:val="none" w:sz="0" w:space="0" w:color="auto"/>
        <w:left w:val="none" w:sz="0" w:space="0" w:color="auto"/>
        <w:bottom w:val="none" w:sz="0" w:space="0" w:color="auto"/>
        <w:right w:val="none" w:sz="0" w:space="0" w:color="auto"/>
      </w:divBdr>
    </w:div>
    <w:div w:id="260841757">
      <w:bodyDiv w:val="1"/>
      <w:marLeft w:val="0"/>
      <w:marRight w:val="0"/>
      <w:marTop w:val="0"/>
      <w:marBottom w:val="0"/>
      <w:divBdr>
        <w:top w:val="none" w:sz="0" w:space="0" w:color="auto"/>
        <w:left w:val="none" w:sz="0" w:space="0" w:color="auto"/>
        <w:bottom w:val="none" w:sz="0" w:space="0" w:color="auto"/>
        <w:right w:val="none" w:sz="0" w:space="0" w:color="auto"/>
      </w:divBdr>
    </w:div>
    <w:div w:id="260845978">
      <w:bodyDiv w:val="1"/>
      <w:marLeft w:val="0"/>
      <w:marRight w:val="0"/>
      <w:marTop w:val="0"/>
      <w:marBottom w:val="0"/>
      <w:divBdr>
        <w:top w:val="none" w:sz="0" w:space="0" w:color="auto"/>
        <w:left w:val="none" w:sz="0" w:space="0" w:color="auto"/>
        <w:bottom w:val="none" w:sz="0" w:space="0" w:color="auto"/>
        <w:right w:val="none" w:sz="0" w:space="0" w:color="auto"/>
      </w:divBdr>
    </w:div>
    <w:div w:id="261306233">
      <w:bodyDiv w:val="1"/>
      <w:marLeft w:val="0"/>
      <w:marRight w:val="0"/>
      <w:marTop w:val="0"/>
      <w:marBottom w:val="0"/>
      <w:divBdr>
        <w:top w:val="none" w:sz="0" w:space="0" w:color="auto"/>
        <w:left w:val="none" w:sz="0" w:space="0" w:color="auto"/>
        <w:bottom w:val="none" w:sz="0" w:space="0" w:color="auto"/>
        <w:right w:val="none" w:sz="0" w:space="0" w:color="auto"/>
      </w:divBdr>
    </w:div>
    <w:div w:id="263078681">
      <w:bodyDiv w:val="1"/>
      <w:marLeft w:val="0"/>
      <w:marRight w:val="0"/>
      <w:marTop w:val="0"/>
      <w:marBottom w:val="0"/>
      <w:divBdr>
        <w:top w:val="none" w:sz="0" w:space="0" w:color="auto"/>
        <w:left w:val="none" w:sz="0" w:space="0" w:color="auto"/>
        <w:bottom w:val="none" w:sz="0" w:space="0" w:color="auto"/>
        <w:right w:val="none" w:sz="0" w:space="0" w:color="auto"/>
      </w:divBdr>
    </w:div>
    <w:div w:id="271517737">
      <w:bodyDiv w:val="1"/>
      <w:marLeft w:val="0"/>
      <w:marRight w:val="0"/>
      <w:marTop w:val="0"/>
      <w:marBottom w:val="0"/>
      <w:divBdr>
        <w:top w:val="none" w:sz="0" w:space="0" w:color="auto"/>
        <w:left w:val="none" w:sz="0" w:space="0" w:color="auto"/>
        <w:bottom w:val="none" w:sz="0" w:space="0" w:color="auto"/>
        <w:right w:val="none" w:sz="0" w:space="0" w:color="auto"/>
      </w:divBdr>
    </w:div>
    <w:div w:id="281960950">
      <w:bodyDiv w:val="1"/>
      <w:marLeft w:val="0"/>
      <w:marRight w:val="0"/>
      <w:marTop w:val="0"/>
      <w:marBottom w:val="0"/>
      <w:divBdr>
        <w:top w:val="none" w:sz="0" w:space="0" w:color="auto"/>
        <w:left w:val="none" w:sz="0" w:space="0" w:color="auto"/>
        <w:bottom w:val="none" w:sz="0" w:space="0" w:color="auto"/>
        <w:right w:val="none" w:sz="0" w:space="0" w:color="auto"/>
      </w:divBdr>
    </w:div>
    <w:div w:id="283580103">
      <w:bodyDiv w:val="1"/>
      <w:marLeft w:val="0"/>
      <w:marRight w:val="0"/>
      <w:marTop w:val="0"/>
      <w:marBottom w:val="0"/>
      <w:divBdr>
        <w:top w:val="none" w:sz="0" w:space="0" w:color="auto"/>
        <w:left w:val="none" w:sz="0" w:space="0" w:color="auto"/>
        <w:bottom w:val="none" w:sz="0" w:space="0" w:color="auto"/>
        <w:right w:val="none" w:sz="0" w:space="0" w:color="auto"/>
      </w:divBdr>
    </w:div>
    <w:div w:id="286934239">
      <w:bodyDiv w:val="1"/>
      <w:marLeft w:val="0"/>
      <w:marRight w:val="0"/>
      <w:marTop w:val="0"/>
      <w:marBottom w:val="0"/>
      <w:divBdr>
        <w:top w:val="none" w:sz="0" w:space="0" w:color="auto"/>
        <w:left w:val="none" w:sz="0" w:space="0" w:color="auto"/>
        <w:bottom w:val="none" w:sz="0" w:space="0" w:color="auto"/>
        <w:right w:val="none" w:sz="0" w:space="0" w:color="auto"/>
      </w:divBdr>
    </w:div>
    <w:div w:id="290867720">
      <w:bodyDiv w:val="1"/>
      <w:marLeft w:val="0"/>
      <w:marRight w:val="0"/>
      <w:marTop w:val="0"/>
      <w:marBottom w:val="0"/>
      <w:divBdr>
        <w:top w:val="none" w:sz="0" w:space="0" w:color="auto"/>
        <w:left w:val="none" w:sz="0" w:space="0" w:color="auto"/>
        <w:bottom w:val="none" w:sz="0" w:space="0" w:color="auto"/>
        <w:right w:val="none" w:sz="0" w:space="0" w:color="auto"/>
      </w:divBdr>
    </w:div>
    <w:div w:id="294412532">
      <w:bodyDiv w:val="1"/>
      <w:marLeft w:val="0"/>
      <w:marRight w:val="0"/>
      <w:marTop w:val="0"/>
      <w:marBottom w:val="0"/>
      <w:divBdr>
        <w:top w:val="none" w:sz="0" w:space="0" w:color="auto"/>
        <w:left w:val="none" w:sz="0" w:space="0" w:color="auto"/>
        <w:bottom w:val="none" w:sz="0" w:space="0" w:color="auto"/>
        <w:right w:val="none" w:sz="0" w:space="0" w:color="auto"/>
      </w:divBdr>
    </w:div>
    <w:div w:id="302349205">
      <w:bodyDiv w:val="1"/>
      <w:marLeft w:val="0"/>
      <w:marRight w:val="0"/>
      <w:marTop w:val="0"/>
      <w:marBottom w:val="0"/>
      <w:divBdr>
        <w:top w:val="none" w:sz="0" w:space="0" w:color="auto"/>
        <w:left w:val="none" w:sz="0" w:space="0" w:color="auto"/>
        <w:bottom w:val="none" w:sz="0" w:space="0" w:color="auto"/>
        <w:right w:val="none" w:sz="0" w:space="0" w:color="auto"/>
      </w:divBdr>
    </w:div>
    <w:div w:id="305428145">
      <w:bodyDiv w:val="1"/>
      <w:marLeft w:val="0"/>
      <w:marRight w:val="0"/>
      <w:marTop w:val="0"/>
      <w:marBottom w:val="0"/>
      <w:divBdr>
        <w:top w:val="none" w:sz="0" w:space="0" w:color="auto"/>
        <w:left w:val="none" w:sz="0" w:space="0" w:color="auto"/>
        <w:bottom w:val="none" w:sz="0" w:space="0" w:color="auto"/>
        <w:right w:val="none" w:sz="0" w:space="0" w:color="auto"/>
      </w:divBdr>
    </w:div>
    <w:div w:id="306520480">
      <w:bodyDiv w:val="1"/>
      <w:marLeft w:val="0"/>
      <w:marRight w:val="0"/>
      <w:marTop w:val="0"/>
      <w:marBottom w:val="0"/>
      <w:divBdr>
        <w:top w:val="none" w:sz="0" w:space="0" w:color="auto"/>
        <w:left w:val="none" w:sz="0" w:space="0" w:color="auto"/>
        <w:bottom w:val="none" w:sz="0" w:space="0" w:color="auto"/>
        <w:right w:val="none" w:sz="0" w:space="0" w:color="auto"/>
      </w:divBdr>
    </w:div>
    <w:div w:id="308176008">
      <w:bodyDiv w:val="1"/>
      <w:marLeft w:val="0"/>
      <w:marRight w:val="0"/>
      <w:marTop w:val="0"/>
      <w:marBottom w:val="0"/>
      <w:divBdr>
        <w:top w:val="none" w:sz="0" w:space="0" w:color="auto"/>
        <w:left w:val="none" w:sz="0" w:space="0" w:color="auto"/>
        <w:bottom w:val="none" w:sz="0" w:space="0" w:color="auto"/>
        <w:right w:val="none" w:sz="0" w:space="0" w:color="auto"/>
      </w:divBdr>
    </w:div>
    <w:div w:id="311493969">
      <w:bodyDiv w:val="1"/>
      <w:marLeft w:val="0"/>
      <w:marRight w:val="0"/>
      <w:marTop w:val="0"/>
      <w:marBottom w:val="0"/>
      <w:divBdr>
        <w:top w:val="none" w:sz="0" w:space="0" w:color="auto"/>
        <w:left w:val="none" w:sz="0" w:space="0" w:color="auto"/>
        <w:bottom w:val="none" w:sz="0" w:space="0" w:color="auto"/>
        <w:right w:val="none" w:sz="0" w:space="0" w:color="auto"/>
      </w:divBdr>
    </w:div>
    <w:div w:id="318854071">
      <w:bodyDiv w:val="1"/>
      <w:marLeft w:val="0"/>
      <w:marRight w:val="0"/>
      <w:marTop w:val="0"/>
      <w:marBottom w:val="0"/>
      <w:divBdr>
        <w:top w:val="none" w:sz="0" w:space="0" w:color="auto"/>
        <w:left w:val="none" w:sz="0" w:space="0" w:color="auto"/>
        <w:bottom w:val="none" w:sz="0" w:space="0" w:color="auto"/>
        <w:right w:val="none" w:sz="0" w:space="0" w:color="auto"/>
      </w:divBdr>
    </w:div>
    <w:div w:id="319970771">
      <w:bodyDiv w:val="1"/>
      <w:marLeft w:val="0"/>
      <w:marRight w:val="0"/>
      <w:marTop w:val="0"/>
      <w:marBottom w:val="0"/>
      <w:divBdr>
        <w:top w:val="none" w:sz="0" w:space="0" w:color="auto"/>
        <w:left w:val="none" w:sz="0" w:space="0" w:color="auto"/>
        <w:bottom w:val="none" w:sz="0" w:space="0" w:color="auto"/>
        <w:right w:val="none" w:sz="0" w:space="0" w:color="auto"/>
      </w:divBdr>
    </w:div>
    <w:div w:id="322198907">
      <w:bodyDiv w:val="1"/>
      <w:marLeft w:val="0"/>
      <w:marRight w:val="0"/>
      <w:marTop w:val="0"/>
      <w:marBottom w:val="0"/>
      <w:divBdr>
        <w:top w:val="none" w:sz="0" w:space="0" w:color="auto"/>
        <w:left w:val="none" w:sz="0" w:space="0" w:color="auto"/>
        <w:bottom w:val="none" w:sz="0" w:space="0" w:color="auto"/>
        <w:right w:val="none" w:sz="0" w:space="0" w:color="auto"/>
      </w:divBdr>
    </w:div>
    <w:div w:id="322663684">
      <w:bodyDiv w:val="1"/>
      <w:marLeft w:val="0"/>
      <w:marRight w:val="0"/>
      <w:marTop w:val="0"/>
      <w:marBottom w:val="0"/>
      <w:divBdr>
        <w:top w:val="none" w:sz="0" w:space="0" w:color="auto"/>
        <w:left w:val="none" w:sz="0" w:space="0" w:color="auto"/>
        <w:bottom w:val="none" w:sz="0" w:space="0" w:color="auto"/>
        <w:right w:val="none" w:sz="0" w:space="0" w:color="auto"/>
      </w:divBdr>
    </w:div>
    <w:div w:id="324287505">
      <w:bodyDiv w:val="1"/>
      <w:marLeft w:val="0"/>
      <w:marRight w:val="0"/>
      <w:marTop w:val="0"/>
      <w:marBottom w:val="0"/>
      <w:divBdr>
        <w:top w:val="none" w:sz="0" w:space="0" w:color="auto"/>
        <w:left w:val="none" w:sz="0" w:space="0" w:color="auto"/>
        <w:bottom w:val="none" w:sz="0" w:space="0" w:color="auto"/>
        <w:right w:val="none" w:sz="0" w:space="0" w:color="auto"/>
      </w:divBdr>
    </w:div>
    <w:div w:id="325090015">
      <w:bodyDiv w:val="1"/>
      <w:marLeft w:val="0"/>
      <w:marRight w:val="0"/>
      <w:marTop w:val="0"/>
      <w:marBottom w:val="0"/>
      <w:divBdr>
        <w:top w:val="none" w:sz="0" w:space="0" w:color="auto"/>
        <w:left w:val="none" w:sz="0" w:space="0" w:color="auto"/>
        <w:bottom w:val="none" w:sz="0" w:space="0" w:color="auto"/>
        <w:right w:val="none" w:sz="0" w:space="0" w:color="auto"/>
      </w:divBdr>
    </w:div>
    <w:div w:id="330716472">
      <w:bodyDiv w:val="1"/>
      <w:marLeft w:val="0"/>
      <w:marRight w:val="0"/>
      <w:marTop w:val="0"/>
      <w:marBottom w:val="0"/>
      <w:divBdr>
        <w:top w:val="none" w:sz="0" w:space="0" w:color="auto"/>
        <w:left w:val="none" w:sz="0" w:space="0" w:color="auto"/>
        <w:bottom w:val="none" w:sz="0" w:space="0" w:color="auto"/>
        <w:right w:val="none" w:sz="0" w:space="0" w:color="auto"/>
      </w:divBdr>
    </w:div>
    <w:div w:id="336276862">
      <w:bodyDiv w:val="1"/>
      <w:marLeft w:val="0"/>
      <w:marRight w:val="0"/>
      <w:marTop w:val="0"/>
      <w:marBottom w:val="0"/>
      <w:divBdr>
        <w:top w:val="none" w:sz="0" w:space="0" w:color="auto"/>
        <w:left w:val="none" w:sz="0" w:space="0" w:color="auto"/>
        <w:bottom w:val="none" w:sz="0" w:space="0" w:color="auto"/>
        <w:right w:val="none" w:sz="0" w:space="0" w:color="auto"/>
      </w:divBdr>
    </w:div>
    <w:div w:id="340742182">
      <w:bodyDiv w:val="1"/>
      <w:marLeft w:val="0"/>
      <w:marRight w:val="0"/>
      <w:marTop w:val="0"/>
      <w:marBottom w:val="0"/>
      <w:divBdr>
        <w:top w:val="none" w:sz="0" w:space="0" w:color="auto"/>
        <w:left w:val="none" w:sz="0" w:space="0" w:color="auto"/>
        <w:bottom w:val="none" w:sz="0" w:space="0" w:color="auto"/>
        <w:right w:val="none" w:sz="0" w:space="0" w:color="auto"/>
      </w:divBdr>
    </w:div>
    <w:div w:id="342323704">
      <w:bodyDiv w:val="1"/>
      <w:marLeft w:val="0"/>
      <w:marRight w:val="0"/>
      <w:marTop w:val="0"/>
      <w:marBottom w:val="0"/>
      <w:divBdr>
        <w:top w:val="none" w:sz="0" w:space="0" w:color="auto"/>
        <w:left w:val="none" w:sz="0" w:space="0" w:color="auto"/>
        <w:bottom w:val="none" w:sz="0" w:space="0" w:color="auto"/>
        <w:right w:val="none" w:sz="0" w:space="0" w:color="auto"/>
      </w:divBdr>
    </w:div>
    <w:div w:id="351030478">
      <w:bodyDiv w:val="1"/>
      <w:marLeft w:val="0"/>
      <w:marRight w:val="0"/>
      <w:marTop w:val="0"/>
      <w:marBottom w:val="0"/>
      <w:divBdr>
        <w:top w:val="none" w:sz="0" w:space="0" w:color="auto"/>
        <w:left w:val="none" w:sz="0" w:space="0" w:color="auto"/>
        <w:bottom w:val="none" w:sz="0" w:space="0" w:color="auto"/>
        <w:right w:val="none" w:sz="0" w:space="0" w:color="auto"/>
      </w:divBdr>
    </w:div>
    <w:div w:id="351300044">
      <w:bodyDiv w:val="1"/>
      <w:marLeft w:val="0"/>
      <w:marRight w:val="0"/>
      <w:marTop w:val="0"/>
      <w:marBottom w:val="0"/>
      <w:divBdr>
        <w:top w:val="none" w:sz="0" w:space="0" w:color="auto"/>
        <w:left w:val="none" w:sz="0" w:space="0" w:color="auto"/>
        <w:bottom w:val="none" w:sz="0" w:space="0" w:color="auto"/>
        <w:right w:val="none" w:sz="0" w:space="0" w:color="auto"/>
      </w:divBdr>
    </w:div>
    <w:div w:id="352851359">
      <w:bodyDiv w:val="1"/>
      <w:marLeft w:val="0"/>
      <w:marRight w:val="0"/>
      <w:marTop w:val="0"/>
      <w:marBottom w:val="0"/>
      <w:divBdr>
        <w:top w:val="none" w:sz="0" w:space="0" w:color="auto"/>
        <w:left w:val="none" w:sz="0" w:space="0" w:color="auto"/>
        <w:bottom w:val="none" w:sz="0" w:space="0" w:color="auto"/>
        <w:right w:val="none" w:sz="0" w:space="0" w:color="auto"/>
      </w:divBdr>
    </w:div>
    <w:div w:id="355543842">
      <w:bodyDiv w:val="1"/>
      <w:marLeft w:val="0"/>
      <w:marRight w:val="0"/>
      <w:marTop w:val="0"/>
      <w:marBottom w:val="0"/>
      <w:divBdr>
        <w:top w:val="none" w:sz="0" w:space="0" w:color="auto"/>
        <w:left w:val="none" w:sz="0" w:space="0" w:color="auto"/>
        <w:bottom w:val="none" w:sz="0" w:space="0" w:color="auto"/>
        <w:right w:val="none" w:sz="0" w:space="0" w:color="auto"/>
      </w:divBdr>
    </w:div>
    <w:div w:id="377508691">
      <w:bodyDiv w:val="1"/>
      <w:marLeft w:val="0"/>
      <w:marRight w:val="0"/>
      <w:marTop w:val="0"/>
      <w:marBottom w:val="0"/>
      <w:divBdr>
        <w:top w:val="none" w:sz="0" w:space="0" w:color="auto"/>
        <w:left w:val="none" w:sz="0" w:space="0" w:color="auto"/>
        <w:bottom w:val="none" w:sz="0" w:space="0" w:color="auto"/>
        <w:right w:val="none" w:sz="0" w:space="0" w:color="auto"/>
      </w:divBdr>
    </w:div>
    <w:div w:id="380831817">
      <w:bodyDiv w:val="1"/>
      <w:marLeft w:val="0"/>
      <w:marRight w:val="0"/>
      <w:marTop w:val="0"/>
      <w:marBottom w:val="0"/>
      <w:divBdr>
        <w:top w:val="none" w:sz="0" w:space="0" w:color="auto"/>
        <w:left w:val="none" w:sz="0" w:space="0" w:color="auto"/>
        <w:bottom w:val="none" w:sz="0" w:space="0" w:color="auto"/>
        <w:right w:val="none" w:sz="0" w:space="0" w:color="auto"/>
      </w:divBdr>
    </w:div>
    <w:div w:id="386609152">
      <w:bodyDiv w:val="1"/>
      <w:marLeft w:val="0"/>
      <w:marRight w:val="0"/>
      <w:marTop w:val="0"/>
      <w:marBottom w:val="0"/>
      <w:divBdr>
        <w:top w:val="none" w:sz="0" w:space="0" w:color="auto"/>
        <w:left w:val="none" w:sz="0" w:space="0" w:color="auto"/>
        <w:bottom w:val="none" w:sz="0" w:space="0" w:color="auto"/>
        <w:right w:val="none" w:sz="0" w:space="0" w:color="auto"/>
      </w:divBdr>
    </w:div>
    <w:div w:id="386687138">
      <w:bodyDiv w:val="1"/>
      <w:marLeft w:val="0"/>
      <w:marRight w:val="0"/>
      <w:marTop w:val="0"/>
      <w:marBottom w:val="0"/>
      <w:divBdr>
        <w:top w:val="none" w:sz="0" w:space="0" w:color="auto"/>
        <w:left w:val="none" w:sz="0" w:space="0" w:color="auto"/>
        <w:bottom w:val="none" w:sz="0" w:space="0" w:color="auto"/>
        <w:right w:val="none" w:sz="0" w:space="0" w:color="auto"/>
      </w:divBdr>
    </w:div>
    <w:div w:id="399406168">
      <w:bodyDiv w:val="1"/>
      <w:marLeft w:val="0"/>
      <w:marRight w:val="0"/>
      <w:marTop w:val="0"/>
      <w:marBottom w:val="0"/>
      <w:divBdr>
        <w:top w:val="none" w:sz="0" w:space="0" w:color="auto"/>
        <w:left w:val="none" w:sz="0" w:space="0" w:color="auto"/>
        <w:bottom w:val="none" w:sz="0" w:space="0" w:color="auto"/>
        <w:right w:val="none" w:sz="0" w:space="0" w:color="auto"/>
      </w:divBdr>
    </w:div>
    <w:div w:id="401680662">
      <w:bodyDiv w:val="1"/>
      <w:marLeft w:val="0"/>
      <w:marRight w:val="0"/>
      <w:marTop w:val="0"/>
      <w:marBottom w:val="0"/>
      <w:divBdr>
        <w:top w:val="none" w:sz="0" w:space="0" w:color="auto"/>
        <w:left w:val="none" w:sz="0" w:space="0" w:color="auto"/>
        <w:bottom w:val="none" w:sz="0" w:space="0" w:color="auto"/>
        <w:right w:val="none" w:sz="0" w:space="0" w:color="auto"/>
      </w:divBdr>
    </w:div>
    <w:div w:id="401828485">
      <w:bodyDiv w:val="1"/>
      <w:marLeft w:val="0"/>
      <w:marRight w:val="0"/>
      <w:marTop w:val="0"/>
      <w:marBottom w:val="0"/>
      <w:divBdr>
        <w:top w:val="none" w:sz="0" w:space="0" w:color="auto"/>
        <w:left w:val="none" w:sz="0" w:space="0" w:color="auto"/>
        <w:bottom w:val="none" w:sz="0" w:space="0" w:color="auto"/>
        <w:right w:val="none" w:sz="0" w:space="0" w:color="auto"/>
      </w:divBdr>
    </w:div>
    <w:div w:id="404840420">
      <w:bodyDiv w:val="1"/>
      <w:marLeft w:val="0"/>
      <w:marRight w:val="0"/>
      <w:marTop w:val="0"/>
      <w:marBottom w:val="0"/>
      <w:divBdr>
        <w:top w:val="none" w:sz="0" w:space="0" w:color="auto"/>
        <w:left w:val="none" w:sz="0" w:space="0" w:color="auto"/>
        <w:bottom w:val="none" w:sz="0" w:space="0" w:color="auto"/>
        <w:right w:val="none" w:sz="0" w:space="0" w:color="auto"/>
      </w:divBdr>
    </w:div>
    <w:div w:id="410591881">
      <w:bodyDiv w:val="1"/>
      <w:marLeft w:val="0"/>
      <w:marRight w:val="0"/>
      <w:marTop w:val="0"/>
      <w:marBottom w:val="0"/>
      <w:divBdr>
        <w:top w:val="none" w:sz="0" w:space="0" w:color="auto"/>
        <w:left w:val="none" w:sz="0" w:space="0" w:color="auto"/>
        <w:bottom w:val="none" w:sz="0" w:space="0" w:color="auto"/>
        <w:right w:val="none" w:sz="0" w:space="0" w:color="auto"/>
      </w:divBdr>
    </w:div>
    <w:div w:id="411393133">
      <w:bodyDiv w:val="1"/>
      <w:marLeft w:val="0"/>
      <w:marRight w:val="0"/>
      <w:marTop w:val="0"/>
      <w:marBottom w:val="0"/>
      <w:divBdr>
        <w:top w:val="none" w:sz="0" w:space="0" w:color="auto"/>
        <w:left w:val="none" w:sz="0" w:space="0" w:color="auto"/>
        <w:bottom w:val="none" w:sz="0" w:space="0" w:color="auto"/>
        <w:right w:val="none" w:sz="0" w:space="0" w:color="auto"/>
      </w:divBdr>
    </w:div>
    <w:div w:id="431628459">
      <w:bodyDiv w:val="1"/>
      <w:marLeft w:val="0"/>
      <w:marRight w:val="0"/>
      <w:marTop w:val="0"/>
      <w:marBottom w:val="0"/>
      <w:divBdr>
        <w:top w:val="none" w:sz="0" w:space="0" w:color="auto"/>
        <w:left w:val="none" w:sz="0" w:space="0" w:color="auto"/>
        <w:bottom w:val="none" w:sz="0" w:space="0" w:color="auto"/>
        <w:right w:val="none" w:sz="0" w:space="0" w:color="auto"/>
      </w:divBdr>
    </w:div>
    <w:div w:id="435557720">
      <w:bodyDiv w:val="1"/>
      <w:marLeft w:val="0"/>
      <w:marRight w:val="0"/>
      <w:marTop w:val="0"/>
      <w:marBottom w:val="0"/>
      <w:divBdr>
        <w:top w:val="none" w:sz="0" w:space="0" w:color="auto"/>
        <w:left w:val="none" w:sz="0" w:space="0" w:color="auto"/>
        <w:bottom w:val="none" w:sz="0" w:space="0" w:color="auto"/>
        <w:right w:val="none" w:sz="0" w:space="0" w:color="auto"/>
      </w:divBdr>
    </w:div>
    <w:div w:id="437605671">
      <w:bodyDiv w:val="1"/>
      <w:marLeft w:val="0"/>
      <w:marRight w:val="0"/>
      <w:marTop w:val="0"/>
      <w:marBottom w:val="0"/>
      <w:divBdr>
        <w:top w:val="none" w:sz="0" w:space="0" w:color="auto"/>
        <w:left w:val="none" w:sz="0" w:space="0" w:color="auto"/>
        <w:bottom w:val="none" w:sz="0" w:space="0" w:color="auto"/>
        <w:right w:val="none" w:sz="0" w:space="0" w:color="auto"/>
      </w:divBdr>
    </w:div>
    <w:div w:id="438574058">
      <w:bodyDiv w:val="1"/>
      <w:marLeft w:val="0"/>
      <w:marRight w:val="0"/>
      <w:marTop w:val="0"/>
      <w:marBottom w:val="0"/>
      <w:divBdr>
        <w:top w:val="none" w:sz="0" w:space="0" w:color="auto"/>
        <w:left w:val="none" w:sz="0" w:space="0" w:color="auto"/>
        <w:bottom w:val="none" w:sz="0" w:space="0" w:color="auto"/>
        <w:right w:val="none" w:sz="0" w:space="0" w:color="auto"/>
      </w:divBdr>
    </w:div>
    <w:div w:id="450050708">
      <w:bodyDiv w:val="1"/>
      <w:marLeft w:val="0"/>
      <w:marRight w:val="0"/>
      <w:marTop w:val="0"/>
      <w:marBottom w:val="0"/>
      <w:divBdr>
        <w:top w:val="none" w:sz="0" w:space="0" w:color="auto"/>
        <w:left w:val="none" w:sz="0" w:space="0" w:color="auto"/>
        <w:bottom w:val="none" w:sz="0" w:space="0" w:color="auto"/>
        <w:right w:val="none" w:sz="0" w:space="0" w:color="auto"/>
      </w:divBdr>
    </w:div>
    <w:div w:id="460274422">
      <w:bodyDiv w:val="1"/>
      <w:marLeft w:val="0"/>
      <w:marRight w:val="0"/>
      <w:marTop w:val="0"/>
      <w:marBottom w:val="0"/>
      <w:divBdr>
        <w:top w:val="none" w:sz="0" w:space="0" w:color="auto"/>
        <w:left w:val="none" w:sz="0" w:space="0" w:color="auto"/>
        <w:bottom w:val="none" w:sz="0" w:space="0" w:color="auto"/>
        <w:right w:val="none" w:sz="0" w:space="0" w:color="auto"/>
      </w:divBdr>
    </w:div>
    <w:div w:id="482040491">
      <w:bodyDiv w:val="1"/>
      <w:marLeft w:val="0"/>
      <w:marRight w:val="0"/>
      <w:marTop w:val="0"/>
      <w:marBottom w:val="0"/>
      <w:divBdr>
        <w:top w:val="none" w:sz="0" w:space="0" w:color="auto"/>
        <w:left w:val="none" w:sz="0" w:space="0" w:color="auto"/>
        <w:bottom w:val="none" w:sz="0" w:space="0" w:color="auto"/>
        <w:right w:val="none" w:sz="0" w:space="0" w:color="auto"/>
      </w:divBdr>
    </w:div>
    <w:div w:id="482550831">
      <w:bodyDiv w:val="1"/>
      <w:marLeft w:val="0"/>
      <w:marRight w:val="0"/>
      <w:marTop w:val="0"/>
      <w:marBottom w:val="0"/>
      <w:divBdr>
        <w:top w:val="none" w:sz="0" w:space="0" w:color="auto"/>
        <w:left w:val="none" w:sz="0" w:space="0" w:color="auto"/>
        <w:bottom w:val="none" w:sz="0" w:space="0" w:color="auto"/>
        <w:right w:val="none" w:sz="0" w:space="0" w:color="auto"/>
      </w:divBdr>
    </w:div>
    <w:div w:id="488449623">
      <w:bodyDiv w:val="1"/>
      <w:marLeft w:val="0"/>
      <w:marRight w:val="0"/>
      <w:marTop w:val="0"/>
      <w:marBottom w:val="0"/>
      <w:divBdr>
        <w:top w:val="none" w:sz="0" w:space="0" w:color="auto"/>
        <w:left w:val="none" w:sz="0" w:space="0" w:color="auto"/>
        <w:bottom w:val="none" w:sz="0" w:space="0" w:color="auto"/>
        <w:right w:val="none" w:sz="0" w:space="0" w:color="auto"/>
      </w:divBdr>
    </w:div>
    <w:div w:id="488523504">
      <w:bodyDiv w:val="1"/>
      <w:marLeft w:val="0"/>
      <w:marRight w:val="0"/>
      <w:marTop w:val="0"/>
      <w:marBottom w:val="0"/>
      <w:divBdr>
        <w:top w:val="none" w:sz="0" w:space="0" w:color="auto"/>
        <w:left w:val="none" w:sz="0" w:space="0" w:color="auto"/>
        <w:bottom w:val="none" w:sz="0" w:space="0" w:color="auto"/>
        <w:right w:val="none" w:sz="0" w:space="0" w:color="auto"/>
      </w:divBdr>
    </w:div>
    <w:div w:id="494224353">
      <w:bodyDiv w:val="1"/>
      <w:marLeft w:val="0"/>
      <w:marRight w:val="0"/>
      <w:marTop w:val="0"/>
      <w:marBottom w:val="0"/>
      <w:divBdr>
        <w:top w:val="none" w:sz="0" w:space="0" w:color="auto"/>
        <w:left w:val="none" w:sz="0" w:space="0" w:color="auto"/>
        <w:bottom w:val="none" w:sz="0" w:space="0" w:color="auto"/>
        <w:right w:val="none" w:sz="0" w:space="0" w:color="auto"/>
      </w:divBdr>
    </w:div>
    <w:div w:id="495801975">
      <w:bodyDiv w:val="1"/>
      <w:marLeft w:val="0"/>
      <w:marRight w:val="0"/>
      <w:marTop w:val="0"/>
      <w:marBottom w:val="0"/>
      <w:divBdr>
        <w:top w:val="none" w:sz="0" w:space="0" w:color="auto"/>
        <w:left w:val="none" w:sz="0" w:space="0" w:color="auto"/>
        <w:bottom w:val="none" w:sz="0" w:space="0" w:color="auto"/>
        <w:right w:val="none" w:sz="0" w:space="0" w:color="auto"/>
      </w:divBdr>
    </w:div>
    <w:div w:id="504906453">
      <w:bodyDiv w:val="1"/>
      <w:marLeft w:val="0"/>
      <w:marRight w:val="0"/>
      <w:marTop w:val="0"/>
      <w:marBottom w:val="0"/>
      <w:divBdr>
        <w:top w:val="none" w:sz="0" w:space="0" w:color="auto"/>
        <w:left w:val="none" w:sz="0" w:space="0" w:color="auto"/>
        <w:bottom w:val="none" w:sz="0" w:space="0" w:color="auto"/>
        <w:right w:val="none" w:sz="0" w:space="0" w:color="auto"/>
      </w:divBdr>
    </w:div>
    <w:div w:id="511644270">
      <w:bodyDiv w:val="1"/>
      <w:marLeft w:val="0"/>
      <w:marRight w:val="0"/>
      <w:marTop w:val="0"/>
      <w:marBottom w:val="0"/>
      <w:divBdr>
        <w:top w:val="none" w:sz="0" w:space="0" w:color="auto"/>
        <w:left w:val="none" w:sz="0" w:space="0" w:color="auto"/>
        <w:bottom w:val="none" w:sz="0" w:space="0" w:color="auto"/>
        <w:right w:val="none" w:sz="0" w:space="0" w:color="auto"/>
      </w:divBdr>
    </w:div>
    <w:div w:id="518737063">
      <w:bodyDiv w:val="1"/>
      <w:marLeft w:val="0"/>
      <w:marRight w:val="0"/>
      <w:marTop w:val="0"/>
      <w:marBottom w:val="0"/>
      <w:divBdr>
        <w:top w:val="none" w:sz="0" w:space="0" w:color="auto"/>
        <w:left w:val="none" w:sz="0" w:space="0" w:color="auto"/>
        <w:bottom w:val="none" w:sz="0" w:space="0" w:color="auto"/>
        <w:right w:val="none" w:sz="0" w:space="0" w:color="auto"/>
      </w:divBdr>
    </w:div>
    <w:div w:id="522744820">
      <w:bodyDiv w:val="1"/>
      <w:marLeft w:val="0"/>
      <w:marRight w:val="0"/>
      <w:marTop w:val="0"/>
      <w:marBottom w:val="0"/>
      <w:divBdr>
        <w:top w:val="none" w:sz="0" w:space="0" w:color="auto"/>
        <w:left w:val="none" w:sz="0" w:space="0" w:color="auto"/>
        <w:bottom w:val="none" w:sz="0" w:space="0" w:color="auto"/>
        <w:right w:val="none" w:sz="0" w:space="0" w:color="auto"/>
      </w:divBdr>
    </w:div>
    <w:div w:id="526140731">
      <w:bodyDiv w:val="1"/>
      <w:marLeft w:val="0"/>
      <w:marRight w:val="0"/>
      <w:marTop w:val="0"/>
      <w:marBottom w:val="0"/>
      <w:divBdr>
        <w:top w:val="none" w:sz="0" w:space="0" w:color="auto"/>
        <w:left w:val="none" w:sz="0" w:space="0" w:color="auto"/>
        <w:bottom w:val="none" w:sz="0" w:space="0" w:color="auto"/>
        <w:right w:val="none" w:sz="0" w:space="0" w:color="auto"/>
      </w:divBdr>
    </w:div>
    <w:div w:id="531914995">
      <w:bodyDiv w:val="1"/>
      <w:marLeft w:val="0"/>
      <w:marRight w:val="0"/>
      <w:marTop w:val="0"/>
      <w:marBottom w:val="0"/>
      <w:divBdr>
        <w:top w:val="none" w:sz="0" w:space="0" w:color="auto"/>
        <w:left w:val="none" w:sz="0" w:space="0" w:color="auto"/>
        <w:bottom w:val="none" w:sz="0" w:space="0" w:color="auto"/>
        <w:right w:val="none" w:sz="0" w:space="0" w:color="auto"/>
      </w:divBdr>
    </w:div>
    <w:div w:id="534925052">
      <w:bodyDiv w:val="1"/>
      <w:marLeft w:val="0"/>
      <w:marRight w:val="0"/>
      <w:marTop w:val="0"/>
      <w:marBottom w:val="0"/>
      <w:divBdr>
        <w:top w:val="none" w:sz="0" w:space="0" w:color="auto"/>
        <w:left w:val="none" w:sz="0" w:space="0" w:color="auto"/>
        <w:bottom w:val="none" w:sz="0" w:space="0" w:color="auto"/>
        <w:right w:val="none" w:sz="0" w:space="0" w:color="auto"/>
      </w:divBdr>
    </w:div>
    <w:div w:id="541987986">
      <w:bodyDiv w:val="1"/>
      <w:marLeft w:val="0"/>
      <w:marRight w:val="0"/>
      <w:marTop w:val="0"/>
      <w:marBottom w:val="0"/>
      <w:divBdr>
        <w:top w:val="none" w:sz="0" w:space="0" w:color="auto"/>
        <w:left w:val="none" w:sz="0" w:space="0" w:color="auto"/>
        <w:bottom w:val="none" w:sz="0" w:space="0" w:color="auto"/>
        <w:right w:val="none" w:sz="0" w:space="0" w:color="auto"/>
      </w:divBdr>
    </w:div>
    <w:div w:id="544753460">
      <w:bodyDiv w:val="1"/>
      <w:marLeft w:val="0"/>
      <w:marRight w:val="0"/>
      <w:marTop w:val="0"/>
      <w:marBottom w:val="0"/>
      <w:divBdr>
        <w:top w:val="none" w:sz="0" w:space="0" w:color="auto"/>
        <w:left w:val="none" w:sz="0" w:space="0" w:color="auto"/>
        <w:bottom w:val="none" w:sz="0" w:space="0" w:color="auto"/>
        <w:right w:val="none" w:sz="0" w:space="0" w:color="auto"/>
      </w:divBdr>
    </w:div>
    <w:div w:id="552471598">
      <w:bodyDiv w:val="1"/>
      <w:marLeft w:val="0"/>
      <w:marRight w:val="0"/>
      <w:marTop w:val="0"/>
      <w:marBottom w:val="0"/>
      <w:divBdr>
        <w:top w:val="none" w:sz="0" w:space="0" w:color="auto"/>
        <w:left w:val="none" w:sz="0" w:space="0" w:color="auto"/>
        <w:bottom w:val="none" w:sz="0" w:space="0" w:color="auto"/>
        <w:right w:val="none" w:sz="0" w:space="0" w:color="auto"/>
      </w:divBdr>
    </w:div>
    <w:div w:id="557471297">
      <w:bodyDiv w:val="1"/>
      <w:marLeft w:val="0"/>
      <w:marRight w:val="0"/>
      <w:marTop w:val="0"/>
      <w:marBottom w:val="0"/>
      <w:divBdr>
        <w:top w:val="none" w:sz="0" w:space="0" w:color="auto"/>
        <w:left w:val="none" w:sz="0" w:space="0" w:color="auto"/>
        <w:bottom w:val="none" w:sz="0" w:space="0" w:color="auto"/>
        <w:right w:val="none" w:sz="0" w:space="0" w:color="auto"/>
      </w:divBdr>
    </w:div>
    <w:div w:id="561788724">
      <w:bodyDiv w:val="1"/>
      <w:marLeft w:val="0"/>
      <w:marRight w:val="0"/>
      <w:marTop w:val="0"/>
      <w:marBottom w:val="0"/>
      <w:divBdr>
        <w:top w:val="none" w:sz="0" w:space="0" w:color="auto"/>
        <w:left w:val="none" w:sz="0" w:space="0" w:color="auto"/>
        <w:bottom w:val="none" w:sz="0" w:space="0" w:color="auto"/>
        <w:right w:val="none" w:sz="0" w:space="0" w:color="auto"/>
      </w:divBdr>
    </w:div>
    <w:div w:id="562065886">
      <w:bodyDiv w:val="1"/>
      <w:marLeft w:val="0"/>
      <w:marRight w:val="0"/>
      <w:marTop w:val="0"/>
      <w:marBottom w:val="0"/>
      <w:divBdr>
        <w:top w:val="none" w:sz="0" w:space="0" w:color="auto"/>
        <w:left w:val="none" w:sz="0" w:space="0" w:color="auto"/>
        <w:bottom w:val="none" w:sz="0" w:space="0" w:color="auto"/>
        <w:right w:val="none" w:sz="0" w:space="0" w:color="auto"/>
      </w:divBdr>
    </w:div>
    <w:div w:id="574710487">
      <w:bodyDiv w:val="1"/>
      <w:marLeft w:val="0"/>
      <w:marRight w:val="0"/>
      <w:marTop w:val="0"/>
      <w:marBottom w:val="0"/>
      <w:divBdr>
        <w:top w:val="none" w:sz="0" w:space="0" w:color="auto"/>
        <w:left w:val="none" w:sz="0" w:space="0" w:color="auto"/>
        <w:bottom w:val="none" w:sz="0" w:space="0" w:color="auto"/>
        <w:right w:val="none" w:sz="0" w:space="0" w:color="auto"/>
      </w:divBdr>
    </w:div>
    <w:div w:id="579753097">
      <w:bodyDiv w:val="1"/>
      <w:marLeft w:val="0"/>
      <w:marRight w:val="0"/>
      <w:marTop w:val="0"/>
      <w:marBottom w:val="0"/>
      <w:divBdr>
        <w:top w:val="none" w:sz="0" w:space="0" w:color="auto"/>
        <w:left w:val="none" w:sz="0" w:space="0" w:color="auto"/>
        <w:bottom w:val="none" w:sz="0" w:space="0" w:color="auto"/>
        <w:right w:val="none" w:sz="0" w:space="0" w:color="auto"/>
      </w:divBdr>
    </w:div>
    <w:div w:id="579798153">
      <w:bodyDiv w:val="1"/>
      <w:marLeft w:val="0"/>
      <w:marRight w:val="0"/>
      <w:marTop w:val="0"/>
      <w:marBottom w:val="0"/>
      <w:divBdr>
        <w:top w:val="none" w:sz="0" w:space="0" w:color="auto"/>
        <w:left w:val="none" w:sz="0" w:space="0" w:color="auto"/>
        <w:bottom w:val="none" w:sz="0" w:space="0" w:color="auto"/>
        <w:right w:val="none" w:sz="0" w:space="0" w:color="auto"/>
      </w:divBdr>
    </w:div>
    <w:div w:id="591209960">
      <w:bodyDiv w:val="1"/>
      <w:marLeft w:val="0"/>
      <w:marRight w:val="0"/>
      <w:marTop w:val="0"/>
      <w:marBottom w:val="0"/>
      <w:divBdr>
        <w:top w:val="none" w:sz="0" w:space="0" w:color="auto"/>
        <w:left w:val="none" w:sz="0" w:space="0" w:color="auto"/>
        <w:bottom w:val="none" w:sz="0" w:space="0" w:color="auto"/>
        <w:right w:val="none" w:sz="0" w:space="0" w:color="auto"/>
      </w:divBdr>
    </w:div>
    <w:div w:id="600769808">
      <w:bodyDiv w:val="1"/>
      <w:marLeft w:val="0"/>
      <w:marRight w:val="0"/>
      <w:marTop w:val="0"/>
      <w:marBottom w:val="0"/>
      <w:divBdr>
        <w:top w:val="none" w:sz="0" w:space="0" w:color="auto"/>
        <w:left w:val="none" w:sz="0" w:space="0" w:color="auto"/>
        <w:bottom w:val="none" w:sz="0" w:space="0" w:color="auto"/>
        <w:right w:val="none" w:sz="0" w:space="0" w:color="auto"/>
      </w:divBdr>
    </w:div>
    <w:div w:id="608466336">
      <w:bodyDiv w:val="1"/>
      <w:marLeft w:val="0"/>
      <w:marRight w:val="0"/>
      <w:marTop w:val="0"/>
      <w:marBottom w:val="0"/>
      <w:divBdr>
        <w:top w:val="none" w:sz="0" w:space="0" w:color="auto"/>
        <w:left w:val="none" w:sz="0" w:space="0" w:color="auto"/>
        <w:bottom w:val="none" w:sz="0" w:space="0" w:color="auto"/>
        <w:right w:val="none" w:sz="0" w:space="0" w:color="auto"/>
      </w:divBdr>
    </w:div>
    <w:div w:id="609698753">
      <w:bodyDiv w:val="1"/>
      <w:marLeft w:val="0"/>
      <w:marRight w:val="0"/>
      <w:marTop w:val="0"/>
      <w:marBottom w:val="0"/>
      <w:divBdr>
        <w:top w:val="none" w:sz="0" w:space="0" w:color="auto"/>
        <w:left w:val="none" w:sz="0" w:space="0" w:color="auto"/>
        <w:bottom w:val="none" w:sz="0" w:space="0" w:color="auto"/>
        <w:right w:val="none" w:sz="0" w:space="0" w:color="auto"/>
      </w:divBdr>
    </w:div>
    <w:div w:id="610087503">
      <w:bodyDiv w:val="1"/>
      <w:marLeft w:val="0"/>
      <w:marRight w:val="0"/>
      <w:marTop w:val="0"/>
      <w:marBottom w:val="0"/>
      <w:divBdr>
        <w:top w:val="none" w:sz="0" w:space="0" w:color="auto"/>
        <w:left w:val="none" w:sz="0" w:space="0" w:color="auto"/>
        <w:bottom w:val="none" w:sz="0" w:space="0" w:color="auto"/>
        <w:right w:val="none" w:sz="0" w:space="0" w:color="auto"/>
      </w:divBdr>
    </w:div>
    <w:div w:id="623579575">
      <w:bodyDiv w:val="1"/>
      <w:marLeft w:val="0"/>
      <w:marRight w:val="0"/>
      <w:marTop w:val="0"/>
      <w:marBottom w:val="0"/>
      <w:divBdr>
        <w:top w:val="none" w:sz="0" w:space="0" w:color="auto"/>
        <w:left w:val="none" w:sz="0" w:space="0" w:color="auto"/>
        <w:bottom w:val="none" w:sz="0" w:space="0" w:color="auto"/>
        <w:right w:val="none" w:sz="0" w:space="0" w:color="auto"/>
      </w:divBdr>
    </w:div>
    <w:div w:id="626738971">
      <w:bodyDiv w:val="1"/>
      <w:marLeft w:val="0"/>
      <w:marRight w:val="0"/>
      <w:marTop w:val="0"/>
      <w:marBottom w:val="0"/>
      <w:divBdr>
        <w:top w:val="none" w:sz="0" w:space="0" w:color="auto"/>
        <w:left w:val="none" w:sz="0" w:space="0" w:color="auto"/>
        <w:bottom w:val="none" w:sz="0" w:space="0" w:color="auto"/>
        <w:right w:val="none" w:sz="0" w:space="0" w:color="auto"/>
      </w:divBdr>
    </w:div>
    <w:div w:id="631133611">
      <w:bodyDiv w:val="1"/>
      <w:marLeft w:val="0"/>
      <w:marRight w:val="0"/>
      <w:marTop w:val="0"/>
      <w:marBottom w:val="0"/>
      <w:divBdr>
        <w:top w:val="none" w:sz="0" w:space="0" w:color="auto"/>
        <w:left w:val="none" w:sz="0" w:space="0" w:color="auto"/>
        <w:bottom w:val="none" w:sz="0" w:space="0" w:color="auto"/>
        <w:right w:val="none" w:sz="0" w:space="0" w:color="auto"/>
      </w:divBdr>
    </w:div>
    <w:div w:id="637146896">
      <w:bodyDiv w:val="1"/>
      <w:marLeft w:val="0"/>
      <w:marRight w:val="0"/>
      <w:marTop w:val="0"/>
      <w:marBottom w:val="0"/>
      <w:divBdr>
        <w:top w:val="none" w:sz="0" w:space="0" w:color="auto"/>
        <w:left w:val="none" w:sz="0" w:space="0" w:color="auto"/>
        <w:bottom w:val="none" w:sz="0" w:space="0" w:color="auto"/>
        <w:right w:val="none" w:sz="0" w:space="0" w:color="auto"/>
      </w:divBdr>
    </w:div>
    <w:div w:id="638146022">
      <w:bodyDiv w:val="1"/>
      <w:marLeft w:val="0"/>
      <w:marRight w:val="0"/>
      <w:marTop w:val="0"/>
      <w:marBottom w:val="0"/>
      <w:divBdr>
        <w:top w:val="none" w:sz="0" w:space="0" w:color="auto"/>
        <w:left w:val="none" w:sz="0" w:space="0" w:color="auto"/>
        <w:bottom w:val="none" w:sz="0" w:space="0" w:color="auto"/>
        <w:right w:val="none" w:sz="0" w:space="0" w:color="auto"/>
      </w:divBdr>
    </w:div>
    <w:div w:id="648444001">
      <w:bodyDiv w:val="1"/>
      <w:marLeft w:val="0"/>
      <w:marRight w:val="0"/>
      <w:marTop w:val="0"/>
      <w:marBottom w:val="0"/>
      <w:divBdr>
        <w:top w:val="none" w:sz="0" w:space="0" w:color="auto"/>
        <w:left w:val="none" w:sz="0" w:space="0" w:color="auto"/>
        <w:bottom w:val="none" w:sz="0" w:space="0" w:color="auto"/>
        <w:right w:val="none" w:sz="0" w:space="0" w:color="auto"/>
      </w:divBdr>
    </w:div>
    <w:div w:id="648751691">
      <w:bodyDiv w:val="1"/>
      <w:marLeft w:val="0"/>
      <w:marRight w:val="0"/>
      <w:marTop w:val="0"/>
      <w:marBottom w:val="0"/>
      <w:divBdr>
        <w:top w:val="none" w:sz="0" w:space="0" w:color="auto"/>
        <w:left w:val="none" w:sz="0" w:space="0" w:color="auto"/>
        <w:bottom w:val="none" w:sz="0" w:space="0" w:color="auto"/>
        <w:right w:val="none" w:sz="0" w:space="0" w:color="auto"/>
      </w:divBdr>
    </w:div>
    <w:div w:id="650207517">
      <w:bodyDiv w:val="1"/>
      <w:marLeft w:val="0"/>
      <w:marRight w:val="0"/>
      <w:marTop w:val="0"/>
      <w:marBottom w:val="0"/>
      <w:divBdr>
        <w:top w:val="none" w:sz="0" w:space="0" w:color="auto"/>
        <w:left w:val="none" w:sz="0" w:space="0" w:color="auto"/>
        <w:bottom w:val="none" w:sz="0" w:space="0" w:color="auto"/>
        <w:right w:val="none" w:sz="0" w:space="0" w:color="auto"/>
      </w:divBdr>
    </w:div>
    <w:div w:id="652292356">
      <w:bodyDiv w:val="1"/>
      <w:marLeft w:val="0"/>
      <w:marRight w:val="0"/>
      <w:marTop w:val="0"/>
      <w:marBottom w:val="0"/>
      <w:divBdr>
        <w:top w:val="none" w:sz="0" w:space="0" w:color="auto"/>
        <w:left w:val="none" w:sz="0" w:space="0" w:color="auto"/>
        <w:bottom w:val="none" w:sz="0" w:space="0" w:color="auto"/>
        <w:right w:val="none" w:sz="0" w:space="0" w:color="auto"/>
      </w:divBdr>
    </w:div>
    <w:div w:id="655114773">
      <w:bodyDiv w:val="1"/>
      <w:marLeft w:val="0"/>
      <w:marRight w:val="0"/>
      <w:marTop w:val="0"/>
      <w:marBottom w:val="0"/>
      <w:divBdr>
        <w:top w:val="none" w:sz="0" w:space="0" w:color="auto"/>
        <w:left w:val="none" w:sz="0" w:space="0" w:color="auto"/>
        <w:bottom w:val="none" w:sz="0" w:space="0" w:color="auto"/>
        <w:right w:val="none" w:sz="0" w:space="0" w:color="auto"/>
      </w:divBdr>
    </w:div>
    <w:div w:id="657423422">
      <w:bodyDiv w:val="1"/>
      <w:marLeft w:val="0"/>
      <w:marRight w:val="0"/>
      <w:marTop w:val="0"/>
      <w:marBottom w:val="0"/>
      <w:divBdr>
        <w:top w:val="none" w:sz="0" w:space="0" w:color="auto"/>
        <w:left w:val="none" w:sz="0" w:space="0" w:color="auto"/>
        <w:bottom w:val="none" w:sz="0" w:space="0" w:color="auto"/>
        <w:right w:val="none" w:sz="0" w:space="0" w:color="auto"/>
      </w:divBdr>
    </w:div>
    <w:div w:id="662587156">
      <w:bodyDiv w:val="1"/>
      <w:marLeft w:val="0"/>
      <w:marRight w:val="0"/>
      <w:marTop w:val="0"/>
      <w:marBottom w:val="0"/>
      <w:divBdr>
        <w:top w:val="none" w:sz="0" w:space="0" w:color="auto"/>
        <w:left w:val="none" w:sz="0" w:space="0" w:color="auto"/>
        <w:bottom w:val="none" w:sz="0" w:space="0" w:color="auto"/>
        <w:right w:val="none" w:sz="0" w:space="0" w:color="auto"/>
      </w:divBdr>
    </w:div>
    <w:div w:id="669723732">
      <w:bodyDiv w:val="1"/>
      <w:marLeft w:val="0"/>
      <w:marRight w:val="0"/>
      <w:marTop w:val="0"/>
      <w:marBottom w:val="0"/>
      <w:divBdr>
        <w:top w:val="none" w:sz="0" w:space="0" w:color="auto"/>
        <w:left w:val="none" w:sz="0" w:space="0" w:color="auto"/>
        <w:bottom w:val="none" w:sz="0" w:space="0" w:color="auto"/>
        <w:right w:val="none" w:sz="0" w:space="0" w:color="auto"/>
      </w:divBdr>
    </w:div>
    <w:div w:id="676078087">
      <w:bodyDiv w:val="1"/>
      <w:marLeft w:val="0"/>
      <w:marRight w:val="0"/>
      <w:marTop w:val="0"/>
      <w:marBottom w:val="0"/>
      <w:divBdr>
        <w:top w:val="none" w:sz="0" w:space="0" w:color="auto"/>
        <w:left w:val="none" w:sz="0" w:space="0" w:color="auto"/>
        <w:bottom w:val="none" w:sz="0" w:space="0" w:color="auto"/>
        <w:right w:val="none" w:sz="0" w:space="0" w:color="auto"/>
      </w:divBdr>
    </w:div>
    <w:div w:id="678122966">
      <w:bodyDiv w:val="1"/>
      <w:marLeft w:val="0"/>
      <w:marRight w:val="0"/>
      <w:marTop w:val="0"/>
      <w:marBottom w:val="0"/>
      <w:divBdr>
        <w:top w:val="none" w:sz="0" w:space="0" w:color="auto"/>
        <w:left w:val="none" w:sz="0" w:space="0" w:color="auto"/>
        <w:bottom w:val="none" w:sz="0" w:space="0" w:color="auto"/>
        <w:right w:val="none" w:sz="0" w:space="0" w:color="auto"/>
      </w:divBdr>
    </w:div>
    <w:div w:id="685444859">
      <w:bodyDiv w:val="1"/>
      <w:marLeft w:val="0"/>
      <w:marRight w:val="0"/>
      <w:marTop w:val="0"/>
      <w:marBottom w:val="0"/>
      <w:divBdr>
        <w:top w:val="none" w:sz="0" w:space="0" w:color="auto"/>
        <w:left w:val="none" w:sz="0" w:space="0" w:color="auto"/>
        <w:bottom w:val="none" w:sz="0" w:space="0" w:color="auto"/>
        <w:right w:val="none" w:sz="0" w:space="0" w:color="auto"/>
      </w:divBdr>
    </w:div>
    <w:div w:id="687682379">
      <w:bodyDiv w:val="1"/>
      <w:marLeft w:val="0"/>
      <w:marRight w:val="0"/>
      <w:marTop w:val="0"/>
      <w:marBottom w:val="0"/>
      <w:divBdr>
        <w:top w:val="none" w:sz="0" w:space="0" w:color="auto"/>
        <w:left w:val="none" w:sz="0" w:space="0" w:color="auto"/>
        <w:bottom w:val="none" w:sz="0" w:space="0" w:color="auto"/>
        <w:right w:val="none" w:sz="0" w:space="0" w:color="auto"/>
      </w:divBdr>
    </w:div>
    <w:div w:id="691691872">
      <w:bodyDiv w:val="1"/>
      <w:marLeft w:val="0"/>
      <w:marRight w:val="0"/>
      <w:marTop w:val="0"/>
      <w:marBottom w:val="0"/>
      <w:divBdr>
        <w:top w:val="none" w:sz="0" w:space="0" w:color="auto"/>
        <w:left w:val="none" w:sz="0" w:space="0" w:color="auto"/>
        <w:bottom w:val="none" w:sz="0" w:space="0" w:color="auto"/>
        <w:right w:val="none" w:sz="0" w:space="0" w:color="auto"/>
      </w:divBdr>
    </w:div>
    <w:div w:id="695230010">
      <w:bodyDiv w:val="1"/>
      <w:marLeft w:val="0"/>
      <w:marRight w:val="0"/>
      <w:marTop w:val="0"/>
      <w:marBottom w:val="0"/>
      <w:divBdr>
        <w:top w:val="none" w:sz="0" w:space="0" w:color="auto"/>
        <w:left w:val="none" w:sz="0" w:space="0" w:color="auto"/>
        <w:bottom w:val="none" w:sz="0" w:space="0" w:color="auto"/>
        <w:right w:val="none" w:sz="0" w:space="0" w:color="auto"/>
      </w:divBdr>
    </w:div>
    <w:div w:id="695623832">
      <w:bodyDiv w:val="1"/>
      <w:marLeft w:val="0"/>
      <w:marRight w:val="0"/>
      <w:marTop w:val="0"/>
      <w:marBottom w:val="0"/>
      <w:divBdr>
        <w:top w:val="none" w:sz="0" w:space="0" w:color="auto"/>
        <w:left w:val="none" w:sz="0" w:space="0" w:color="auto"/>
        <w:bottom w:val="none" w:sz="0" w:space="0" w:color="auto"/>
        <w:right w:val="none" w:sz="0" w:space="0" w:color="auto"/>
      </w:divBdr>
    </w:div>
    <w:div w:id="697388036">
      <w:bodyDiv w:val="1"/>
      <w:marLeft w:val="0"/>
      <w:marRight w:val="0"/>
      <w:marTop w:val="0"/>
      <w:marBottom w:val="0"/>
      <w:divBdr>
        <w:top w:val="none" w:sz="0" w:space="0" w:color="auto"/>
        <w:left w:val="none" w:sz="0" w:space="0" w:color="auto"/>
        <w:bottom w:val="none" w:sz="0" w:space="0" w:color="auto"/>
        <w:right w:val="none" w:sz="0" w:space="0" w:color="auto"/>
      </w:divBdr>
    </w:div>
    <w:div w:id="697505902">
      <w:bodyDiv w:val="1"/>
      <w:marLeft w:val="0"/>
      <w:marRight w:val="0"/>
      <w:marTop w:val="0"/>
      <w:marBottom w:val="0"/>
      <w:divBdr>
        <w:top w:val="none" w:sz="0" w:space="0" w:color="auto"/>
        <w:left w:val="none" w:sz="0" w:space="0" w:color="auto"/>
        <w:bottom w:val="none" w:sz="0" w:space="0" w:color="auto"/>
        <w:right w:val="none" w:sz="0" w:space="0" w:color="auto"/>
      </w:divBdr>
    </w:div>
    <w:div w:id="705986296">
      <w:bodyDiv w:val="1"/>
      <w:marLeft w:val="0"/>
      <w:marRight w:val="0"/>
      <w:marTop w:val="0"/>
      <w:marBottom w:val="0"/>
      <w:divBdr>
        <w:top w:val="none" w:sz="0" w:space="0" w:color="auto"/>
        <w:left w:val="none" w:sz="0" w:space="0" w:color="auto"/>
        <w:bottom w:val="none" w:sz="0" w:space="0" w:color="auto"/>
        <w:right w:val="none" w:sz="0" w:space="0" w:color="auto"/>
      </w:divBdr>
    </w:div>
    <w:div w:id="711459636">
      <w:bodyDiv w:val="1"/>
      <w:marLeft w:val="0"/>
      <w:marRight w:val="0"/>
      <w:marTop w:val="0"/>
      <w:marBottom w:val="0"/>
      <w:divBdr>
        <w:top w:val="none" w:sz="0" w:space="0" w:color="auto"/>
        <w:left w:val="none" w:sz="0" w:space="0" w:color="auto"/>
        <w:bottom w:val="none" w:sz="0" w:space="0" w:color="auto"/>
        <w:right w:val="none" w:sz="0" w:space="0" w:color="auto"/>
      </w:divBdr>
    </w:div>
    <w:div w:id="719550315">
      <w:bodyDiv w:val="1"/>
      <w:marLeft w:val="0"/>
      <w:marRight w:val="0"/>
      <w:marTop w:val="0"/>
      <w:marBottom w:val="0"/>
      <w:divBdr>
        <w:top w:val="none" w:sz="0" w:space="0" w:color="auto"/>
        <w:left w:val="none" w:sz="0" w:space="0" w:color="auto"/>
        <w:bottom w:val="none" w:sz="0" w:space="0" w:color="auto"/>
        <w:right w:val="none" w:sz="0" w:space="0" w:color="auto"/>
      </w:divBdr>
    </w:div>
    <w:div w:id="720596109">
      <w:bodyDiv w:val="1"/>
      <w:marLeft w:val="0"/>
      <w:marRight w:val="0"/>
      <w:marTop w:val="0"/>
      <w:marBottom w:val="0"/>
      <w:divBdr>
        <w:top w:val="none" w:sz="0" w:space="0" w:color="auto"/>
        <w:left w:val="none" w:sz="0" w:space="0" w:color="auto"/>
        <w:bottom w:val="none" w:sz="0" w:space="0" w:color="auto"/>
        <w:right w:val="none" w:sz="0" w:space="0" w:color="auto"/>
      </w:divBdr>
    </w:div>
    <w:div w:id="731583269">
      <w:bodyDiv w:val="1"/>
      <w:marLeft w:val="0"/>
      <w:marRight w:val="0"/>
      <w:marTop w:val="0"/>
      <w:marBottom w:val="0"/>
      <w:divBdr>
        <w:top w:val="none" w:sz="0" w:space="0" w:color="auto"/>
        <w:left w:val="none" w:sz="0" w:space="0" w:color="auto"/>
        <w:bottom w:val="none" w:sz="0" w:space="0" w:color="auto"/>
        <w:right w:val="none" w:sz="0" w:space="0" w:color="auto"/>
      </w:divBdr>
    </w:div>
    <w:div w:id="732198996">
      <w:bodyDiv w:val="1"/>
      <w:marLeft w:val="0"/>
      <w:marRight w:val="0"/>
      <w:marTop w:val="0"/>
      <w:marBottom w:val="0"/>
      <w:divBdr>
        <w:top w:val="none" w:sz="0" w:space="0" w:color="auto"/>
        <w:left w:val="none" w:sz="0" w:space="0" w:color="auto"/>
        <w:bottom w:val="none" w:sz="0" w:space="0" w:color="auto"/>
        <w:right w:val="none" w:sz="0" w:space="0" w:color="auto"/>
      </w:divBdr>
    </w:div>
    <w:div w:id="734159116">
      <w:bodyDiv w:val="1"/>
      <w:marLeft w:val="0"/>
      <w:marRight w:val="0"/>
      <w:marTop w:val="0"/>
      <w:marBottom w:val="0"/>
      <w:divBdr>
        <w:top w:val="none" w:sz="0" w:space="0" w:color="auto"/>
        <w:left w:val="none" w:sz="0" w:space="0" w:color="auto"/>
        <w:bottom w:val="none" w:sz="0" w:space="0" w:color="auto"/>
        <w:right w:val="none" w:sz="0" w:space="0" w:color="auto"/>
      </w:divBdr>
    </w:div>
    <w:div w:id="734205382">
      <w:bodyDiv w:val="1"/>
      <w:marLeft w:val="0"/>
      <w:marRight w:val="0"/>
      <w:marTop w:val="0"/>
      <w:marBottom w:val="0"/>
      <w:divBdr>
        <w:top w:val="none" w:sz="0" w:space="0" w:color="auto"/>
        <w:left w:val="none" w:sz="0" w:space="0" w:color="auto"/>
        <w:bottom w:val="none" w:sz="0" w:space="0" w:color="auto"/>
        <w:right w:val="none" w:sz="0" w:space="0" w:color="auto"/>
      </w:divBdr>
    </w:div>
    <w:div w:id="741563951">
      <w:bodyDiv w:val="1"/>
      <w:marLeft w:val="0"/>
      <w:marRight w:val="0"/>
      <w:marTop w:val="0"/>
      <w:marBottom w:val="0"/>
      <w:divBdr>
        <w:top w:val="none" w:sz="0" w:space="0" w:color="auto"/>
        <w:left w:val="none" w:sz="0" w:space="0" w:color="auto"/>
        <w:bottom w:val="none" w:sz="0" w:space="0" w:color="auto"/>
        <w:right w:val="none" w:sz="0" w:space="0" w:color="auto"/>
      </w:divBdr>
    </w:div>
    <w:div w:id="757677719">
      <w:bodyDiv w:val="1"/>
      <w:marLeft w:val="0"/>
      <w:marRight w:val="0"/>
      <w:marTop w:val="0"/>
      <w:marBottom w:val="0"/>
      <w:divBdr>
        <w:top w:val="none" w:sz="0" w:space="0" w:color="auto"/>
        <w:left w:val="none" w:sz="0" w:space="0" w:color="auto"/>
        <w:bottom w:val="none" w:sz="0" w:space="0" w:color="auto"/>
        <w:right w:val="none" w:sz="0" w:space="0" w:color="auto"/>
      </w:divBdr>
    </w:div>
    <w:div w:id="759104069">
      <w:bodyDiv w:val="1"/>
      <w:marLeft w:val="0"/>
      <w:marRight w:val="0"/>
      <w:marTop w:val="0"/>
      <w:marBottom w:val="0"/>
      <w:divBdr>
        <w:top w:val="none" w:sz="0" w:space="0" w:color="auto"/>
        <w:left w:val="none" w:sz="0" w:space="0" w:color="auto"/>
        <w:bottom w:val="none" w:sz="0" w:space="0" w:color="auto"/>
        <w:right w:val="none" w:sz="0" w:space="0" w:color="auto"/>
      </w:divBdr>
    </w:div>
    <w:div w:id="766997577">
      <w:bodyDiv w:val="1"/>
      <w:marLeft w:val="0"/>
      <w:marRight w:val="0"/>
      <w:marTop w:val="0"/>
      <w:marBottom w:val="0"/>
      <w:divBdr>
        <w:top w:val="none" w:sz="0" w:space="0" w:color="auto"/>
        <w:left w:val="none" w:sz="0" w:space="0" w:color="auto"/>
        <w:bottom w:val="none" w:sz="0" w:space="0" w:color="auto"/>
        <w:right w:val="none" w:sz="0" w:space="0" w:color="auto"/>
      </w:divBdr>
    </w:div>
    <w:div w:id="774793669">
      <w:bodyDiv w:val="1"/>
      <w:marLeft w:val="0"/>
      <w:marRight w:val="0"/>
      <w:marTop w:val="0"/>
      <w:marBottom w:val="0"/>
      <w:divBdr>
        <w:top w:val="none" w:sz="0" w:space="0" w:color="auto"/>
        <w:left w:val="none" w:sz="0" w:space="0" w:color="auto"/>
        <w:bottom w:val="none" w:sz="0" w:space="0" w:color="auto"/>
        <w:right w:val="none" w:sz="0" w:space="0" w:color="auto"/>
      </w:divBdr>
    </w:div>
    <w:div w:id="799767328">
      <w:bodyDiv w:val="1"/>
      <w:marLeft w:val="0"/>
      <w:marRight w:val="0"/>
      <w:marTop w:val="0"/>
      <w:marBottom w:val="0"/>
      <w:divBdr>
        <w:top w:val="none" w:sz="0" w:space="0" w:color="auto"/>
        <w:left w:val="none" w:sz="0" w:space="0" w:color="auto"/>
        <w:bottom w:val="none" w:sz="0" w:space="0" w:color="auto"/>
        <w:right w:val="none" w:sz="0" w:space="0" w:color="auto"/>
      </w:divBdr>
    </w:div>
    <w:div w:id="804739597">
      <w:bodyDiv w:val="1"/>
      <w:marLeft w:val="0"/>
      <w:marRight w:val="0"/>
      <w:marTop w:val="0"/>
      <w:marBottom w:val="0"/>
      <w:divBdr>
        <w:top w:val="none" w:sz="0" w:space="0" w:color="auto"/>
        <w:left w:val="none" w:sz="0" w:space="0" w:color="auto"/>
        <w:bottom w:val="none" w:sz="0" w:space="0" w:color="auto"/>
        <w:right w:val="none" w:sz="0" w:space="0" w:color="auto"/>
      </w:divBdr>
    </w:div>
    <w:div w:id="818767368">
      <w:bodyDiv w:val="1"/>
      <w:marLeft w:val="0"/>
      <w:marRight w:val="0"/>
      <w:marTop w:val="0"/>
      <w:marBottom w:val="0"/>
      <w:divBdr>
        <w:top w:val="none" w:sz="0" w:space="0" w:color="auto"/>
        <w:left w:val="none" w:sz="0" w:space="0" w:color="auto"/>
        <w:bottom w:val="none" w:sz="0" w:space="0" w:color="auto"/>
        <w:right w:val="none" w:sz="0" w:space="0" w:color="auto"/>
      </w:divBdr>
    </w:div>
    <w:div w:id="819926942">
      <w:bodyDiv w:val="1"/>
      <w:marLeft w:val="0"/>
      <w:marRight w:val="0"/>
      <w:marTop w:val="0"/>
      <w:marBottom w:val="0"/>
      <w:divBdr>
        <w:top w:val="none" w:sz="0" w:space="0" w:color="auto"/>
        <w:left w:val="none" w:sz="0" w:space="0" w:color="auto"/>
        <w:bottom w:val="none" w:sz="0" w:space="0" w:color="auto"/>
        <w:right w:val="none" w:sz="0" w:space="0" w:color="auto"/>
      </w:divBdr>
    </w:div>
    <w:div w:id="823014829">
      <w:bodyDiv w:val="1"/>
      <w:marLeft w:val="0"/>
      <w:marRight w:val="0"/>
      <w:marTop w:val="0"/>
      <w:marBottom w:val="0"/>
      <w:divBdr>
        <w:top w:val="none" w:sz="0" w:space="0" w:color="auto"/>
        <w:left w:val="none" w:sz="0" w:space="0" w:color="auto"/>
        <w:bottom w:val="none" w:sz="0" w:space="0" w:color="auto"/>
        <w:right w:val="none" w:sz="0" w:space="0" w:color="auto"/>
      </w:divBdr>
    </w:div>
    <w:div w:id="824973194">
      <w:bodyDiv w:val="1"/>
      <w:marLeft w:val="0"/>
      <w:marRight w:val="0"/>
      <w:marTop w:val="0"/>
      <w:marBottom w:val="0"/>
      <w:divBdr>
        <w:top w:val="none" w:sz="0" w:space="0" w:color="auto"/>
        <w:left w:val="none" w:sz="0" w:space="0" w:color="auto"/>
        <w:bottom w:val="none" w:sz="0" w:space="0" w:color="auto"/>
        <w:right w:val="none" w:sz="0" w:space="0" w:color="auto"/>
      </w:divBdr>
    </w:div>
    <w:div w:id="825360737">
      <w:bodyDiv w:val="1"/>
      <w:marLeft w:val="0"/>
      <w:marRight w:val="0"/>
      <w:marTop w:val="0"/>
      <w:marBottom w:val="0"/>
      <w:divBdr>
        <w:top w:val="none" w:sz="0" w:space="0" w:color="auto"/>
        <w:left w:val="none" w:sz="0" w:space="0" w:color="auto"/>
        <w:bottom w:val="none" w:sz="0" w:space="0" w:color="auto"/>
        <w:right w:val="none" w:sz="0" w:space="0" w:color="auto"/>
      </w:divBdr>
    </w:div>
    <w:div w:id="834567331">
      <w:bodyDiv w:val="1"/>
      <w:marLeft w:val="0"/>
      <w:marRight w:val="0"/>
      <w:marTop w:val="0"/>
      <w:marBottom w:val="0"/>
      <w:divBdr>
        <w:top w:val="none" w:sz="0" w:space="0" w:color="auto"/>
        <w:left w:val="none" w:sz="0" w:space="0" w:color="auto"/>
        <w:bottom w:val="none" w:sz="0" w:space="0" w:color="auto"/>
        <w:right w:val="none" w:sz="0" w:space="0" w:color="auto"/>
      </w:divBdr>
    </w:div>
    <w:div w:id="835266343">
      <w:bodyDiv w:val="1"/>
      <w:marLeft w:val="0"/>
      <w:marRight w:val="0"/>
      <w:marTop w:val="0"/>
      <w:marBottom w:val="0"/>
      <w:divBdr>
        <w:top w:val="none" w:sz="0" w:space="0" w:color="auto"/>
        <w:left w:val="none" w:sz="0" w:space="0" w:color="auto"/>
        <w:bottom w:val="none" w:sz="0" w:space="0" w:color="auto"/>
        <w:right w:val="none" w:sz="0" w:space="0" w:color="auto"/>
      </w:divBdr>
    </w:div>
    <w:div w:id="836921617">
      <w:bodyDiv w:val="1"/>
      <w:marLeft w:val="0"/>
      <w:marRight w:val="0"/>
      <w:marTop w:val="0"/>
      <w:marBottom w:val="0"/>
      <w:divBdr>
        <w:top w:val="none" w:sz="0" w:space="0" w:color="auto"/>
        <w:left w:val="none" w:sz="0" w:space="0" w:color="auto"/>
        <w:bottom w:val="none" w:sz="0" w:space="0" w:color="auto"/>
        <w:right w:val="none" w:sz="0" w:space="0" w:color="auto"/>
      </w:divBdr>
    </w:div>
    <w:div w:id="845829926">
      <w:bodyDiv w:val="1"/>
      <w:marLeft w:val="0"/>
      <w:marRight w:val="0"/>
      <w:marTop w:val="0"/>
      <w:marBottom w:val="0"/>
      <w:divBdr>
        <w:top w:val="none" w:sz="0" w:space="0" w:color="auto"/>
        <w:left w:val="none" w:sz="0" w:space="0" w:color="auto"/>
        <w:bottom w:val="none" w:sz="0" w:space="0" w:color="auto"/>
        <w:right w:val="none" w:sz="0" w:space="0" w:color="auto"/>
      </w:divBdr>
    </w:div>
    <w:div w:id="848983405">
      <w:bodyDiv w:val="1"/>
      <w:marLeft w:val="0"/>
      <w:marRight w:val="0"/>
      <w:marTop w:val="0"/>
      <w:marBottom w:val="0"/>
      <w:divBdr>
        <w:top w:val="none" w:sz="0" w:space="0" w:color="auto"/>
        <w:left w:val="none" w:sz="0" w:space="0" w:color="auto"/>
        <w:bottom w:val="none" w:sz="0" w:space="0" w:color="auto"/>
        <w:right w:val="none" w:sz="0" w:space="0" w:color="auto"/>
      </w:divBdr>
    </w:div>
    <w:div w:id="851144686">
      <w:bodyDiv w:val="1"/>
      <w:marLeft w:val="0"/>
      <w:marRight w:val="0"/>
      <w:marTop w:val="0"/>
      <w:marBottom w:val="0"/>
      <w:divBdr>
        <w:top w:val="none" w:sz="0" w:space="0" w:color="auto"/>
        <w:left w:val="none" w:sz="0" w:space="0" w:color="auto"/>
        <w:bottom w:val="none" w:sz="0" w:space="0" w:color="auto"/>
        <w:right w:val="none" w:sz="0" w:space="0" w:color="auto"/>
      </w:divBdr>
    </w:div>
    <w:div w:id="856889697">
      <w:bodyDiv w:val="1"/>
      <w:marLeft w:val="0"/>
      <w:marRight w:val="0"/>
      <w:marTop w:val="0"/>
      <w:marBottom w:val="0"/>
      <w:divBdr>
        <w:top w:val="none" w:sz="0" w:space="0" w:color="auto"/>
        <w:left w:val="none" w:sz="0" w:space="0" w:color="auto"/>
        <w:bottom w:val="none" w:sz="0" w:space="0" w:color="auto"/>
        <w:right w:val="none" w:sz="0" w:space="0" w:color="auto"/>
      </w:divBdr>
    </w:div>
    <w:div w:id="882715507">
      <w:bodyDiv w:val="1"/>
      <w:marLeft w:val="0"/>
      <w:marRight w:val="0"/>
      <w:marTop w:val="0"/>
      <w:marBottom w:val="0"/>
      <w:divBdr>
        <w:top w:val="none" w:sz="0" w:space="0" w:color="auto"/>
        <w:left w:val="none" w:sz="0" w:space="0" w:color="auto"/>
        <w:bottom w:val="none" w:sz="0" w:space="0" w:color="auto"/>
        <w:right w:val="none" w:sz="0" w:space="0" w:color="auto"/>
      </w:divBdr>
    </w:div>
    <w:div w:id="886527020">
      <w:bodyDiv w:val="1"/>
      <w:marLeft w:val="0"/>
      <w:marRight w:val="0"/>
      <w:marTop w:val="0"/>
      <w:marBottom w:val="0"/>
      <w:divBdr>
        <w:top w:val="none" w:sz="0" w:space="0" w:color="auto"/>
        <w:left w:val="none" w:sz="0" w:space="0" w:color="auto"/>
        <w:bottom w:val="none" w:sz="0" w:space="0" w:color="auto"/>
        <w:right w:val="none" w:sz="0" w:space="0" w:color="auto"/>
      </w:divBdr>
    </w:div>
    <w:div w:id="888152029">
      <w:bodyDiv w:val="1"/>
      <w:marLeft w:val="0"/>
      <w:marRight w:val="0"/>
      <w:marTop w:val="0"/>
      <w:marBottom w:val="0"/>
      <w:divBdr>
        <w:top w:val="none" w:sz="0" w:space="0" w:color="auto"/>
        <w:left w:val="none" w:sz="0" w:space="0" w:color="auto"/>
        <w:bottom w:val="none" w:sz="0" w:space="0" w:color="auto"/>
        <w:right w:val="none" w:sz="0" w:space="0" w:color="auto"/>
      </w:divBdr>
    </w:div>
    <w:div w:id="899944811">
      <w:bodyDiv w:val="1"/>
      <w:marLeft w:val="0"/>
      <w:marRight w:val="0"/>
      <w:marTop w:val="0"/>
      <w:marBottom w:val="0"/>
      <w:divBdr>
        <w:top w:val="none" w:sz="0" w:space="0" w:color="auto"/>
        <w:left w:val="none" w:sz="0" w:space="0" w:color="auto"/>
        <w:bottom w:val="none" w:sz="0" w:space="0" w:color="auto"/>
        <w:right w:val="none" w:sz="0" w:space="0" w:color="auto"/>
      </w:divBdr>
    </w:div>
    <w:div w:id="901329386">
      <w:bodyDiv w:val="1"/>
      <w:marLeft w:val="0"/>
      <w:marRight w:val="0"/>
      <w:marTop w:val="0"/>
      <w:marBottom w:val="0"/>
      <w:divBdr>
        <w:top w:val="none" w:sz="0" w:space="0" w:color="auto"/>
        <w:left w:val="none" w:sz="0" w:space="0" w:color="auto"/>
        <w:bottom w:val="none" w:sz="0" w:space="0" w:color="auto"/>
        <w:right w:val="none" w:sz="0" w:space="0" w:color="auto"/>
      </w:divBdr>
    </w:div>
    <w:div w:id="902836692">
      <w:bodyDiv w:val="1"/>
      <w:marLeft w:val="0"/>
      <w:marRight w:val="0"/>
      <w:marTop w:val="0"/>
      <w:marBottom w:val="0"/>
      <w:divBdr>
        <w:top w:val="none" w:sz="0" w:space="0" w:color="auto"/>
        <w:left w:val="none" w:sz="0" w:space="0" w:color="auto"/>
        <w:bottom w:val="none" w:sz="0" w:space="0" w:color="auto"/>
        <w:right w:val="none" w:sz="0" w:space="0" w:color="auto"/>
      </w:divBdr>
    </w:div>
    <w:div w:id="903682670">
      <w:bodyDiv w:val="1"/>
      <w:marLeft w:val="0"/>
      <w:marRight w:val="0"/>
      <w:marTop w:val="0"/>
      <w:marBottom w:val="0"/>
      <w:divBdr>
        <w:top w:val="none" w:sz="0" w:space="0" w:color="auto"/>
        <w:left w:val="none" w:sz="0" w:space="0" w:color="auto"/>
        <w:bottom w:val="none" w:sz="0" w:space="0" w:color="auto"/>
        <w:right w:val="none" w:sz="0" w:space="0" w:color="auto"/>
      </w:divBdr>
    </w:div>
    <w:div w:id="920914504">
      <w:bodyDiv w:val="1"/>
      <w:marLeft w:val="0"/>
      <w:marRight w:val="0"/>
      <w:marTop w:val="0"/>
      <w:marBottom w:val="0"/>
      <w:divBdr>
        <w:top w:val="none" w:sz="0" w:space="0" w:color="auto"/>
        <w:left w:val="none" w:sz="0" w:space="0" w:color="auto"/>
        <w:bottom w:val="none" w:sz="0" w:space="0" w:color="auto"/>
        <w:right w:val="none" w:sz="0" w:space="0" w:color="auto"/>
      </w:divBdr>
    </w:div>
    <w:div w:id="932323702">
      <w:bodyDiv w:val="1"/>
      <w:marLeft w:val="0"/>
      <w:marRight w:val="0"/>
      <w:marTop w:val="0"/>
      <w:marBottom w:val="0"/>
      <w:divBdr>
        <w:top w:val="none" w:sz="0" w:space="0" w:color="auto"/>
        <w:left w:val="none" w:sz="0" w:space="0" w:color="auto"/>
        <w:bottom w:val="none" w:sz="0" w:space="0" w:color="auto"/>
        <w:right w:val="none" w:sz="0" w:space="0" w:color="auto"/>
      </w:divBdr>
    </w:div>
    <w:div w:id="935946284">
      <w:bodyDiv w:val="1"/>
      <w:marLeft w:val="0"/>
      <w:marRight w:val="0"/>
      <w:marTop w:val="0"/>
      <w:marBottom w:val="0"/>
      <w:divBdr>
        <w:top w:val="none" w:sz="0" w:space="0" w:color="auto"/>
        <w:left w:val="none" w:sz="0" w:space="0" w:color="auto"/>
        <w:bottom w:val="none" w:sz="0" w:space="0" w:color="auto"/>
        <w:right w:val="none" w:sz="0" w:space="0" w:color="auto"/>
      </w:divBdr>
    </w:div>
    <w:div w:id="936057936">
      <w:bodyDiv w:val="1"/>
      <w:marLeft w:val="0"/>
      <w:marRight w:val="0"/>
      <w:marTop w:val="0"/>
      <w:marBottom w:val="0"/>
      <w:divBdr>
        <w:top w:val="none" w:sz="0" w:space="0" w:color="auto"/>
        <w:left w:val="none" w:sz="0" w:space="0" w:color="auto"/>
        <w:bottom w:val="none" w:sz="0" w:space="0" w:color="auto"/>
        <w:right w:val="none" w:sz="0" w:space="0" w:color="auto"/>
      </w:divBdr>
    </w:div>
    <w:div w:id="936787803">
      <w:bodyDiv w:val="1"/>
      <w:marLeft w:val="0"/>
      <w:marRight w:val="0"/>
      <w:marTop w:val="0"/>
      <w:marBottom w:val="0"/>
      <w:divBdr>
        <w:top w:val="none" w:sz="0" w:space="0" w:color="auto"/>
        <w:left w:val="none" w:sz="0" w:space="0" w:color="auto"/>
        <w:bottom w:val="none" w:sz="0" w:space="0" w:color="auto"/>
        <w:right w:val="none" w:sz="0" w:space="0" w:color="auto"/>
      </w:divBdr>
    </w:div>
    <w:div w:id="937908675">
      <w:bodyDiv w:val="1"/>
      <w:marLeft w:val="0"/>
      <w:marRight w:val="0"/>
      <w:marTop w:val="0"/>
      <w:marBottom w:val="0"/>
      <w:divBdr>
        <w:top w:val="none" w:sz="0" w:space="0" w:color="auto"/>
        <w:left w:val="none" w:sz="0" w:space="0" w:color="auto"/>
        <w:bottom w:val="none" w:sz="0" w:space="0" w:color="auto"/>
        <w:right w:val="none" w:sz="0" w:space="0" w:color="auto"/>
      </w:divBdr>
    </w:div>
    <w:div w:id="939409422">
      <w:bodyDiv w:val="1"/>
      <w:marLeft w:val="0"/>
      <w:marRight w:val="0"/>
      <w:marTop w:val="0"/>
      <w:marBottom w:val="0"/>
      <w:divBdr>
        <w:top w:val="none" w:sz="0" w:space="0" w:color="auto"/>
        <w:left w:val="none" w:sz="0" w:space="0" w:color="auto"/>
        <w:bottom w:val="none" w:sz="0" w:space="0" w:color="auto"/>
        <w:right w:val="none" w:sz="0" w:space="0" w:color="auto"/>
      </w:divBdr>
    </w:div>
    <w:div w:id="945309541">
      <w:bodyDiv w:val="1"/>
      <w:marLeft w:val="0"/>
      <w:marRight w:val="0"/>
      <w:marTop w:val="0"/>
      <w:marBottom w:val="0"/>
      <w:divBdr>
        <w:top w:val="none" w:sz="0" w:space="0" w:color="auto"/>
        <w:left w:val="none" w:sz="0" w:space="0" w:color="auto"/>
        <w:bottom w:val="none" w:sz="0" w:space="0" w:color="auto"/>
        <w:right w:val="none" w:sz="0" w:space="0" w:color="auto"/>
      </w:divBdr>
    </w:div>
    <w:div w:id="948468010">
      <w:bodyDiv w:val="1"/>
      <w:marLeft w:val="0"/>
      <w:marRight w:val="0"/>
      <w:marTop w:val="0"/>
      <w:marBottom w:val="0"/>
      <w:divBdr>
        <w:top w:val="none" w:sz="0" w:space="0" w:color="auto"/>
        <w:left w:val="none" w:sz="0" w:space="0" w:color="auto"/>
        <w:bottom w:val="none" w:sz="0" w:space="0" w:color="auto"/>
        <w:right w:val="none" w:sz="0" w:space="0" w:color="auto"/>
      </w:divBdr>
    </w:div>
    <w:div w:id="957293132">
      <w:bodyDiv w:val="1"/>
      <w:marLeft w:val="0"/>
      <w:marRight w:val="0"/>
      <w:marTop w:val="0"/>
      <w:marBottom w:val="0"/>
      <w:divBdr>
        <w:top w:val="none" w:sz="0" w:space="0" w:color="auto"/>
        <w:left w:val="none" w:sz="0" w:space="0" w:color="auto"/>
        <w:bottom w:val="none" w:sz="0" w:space="0" w:color="auto"/>
        <w:right w:val="none" w:sz="0" w:space="0" w:color="auto"/>
      </w:divBdr>
    </w:div>
    <w:div w:id="972828266">
      <w:bodyDiv w:val="1"/>
      <w:marLeft w:val="0"/>
      <w:marRight w:val="0"/>
      <w:marTop w:val="0"/>
      <w:marBottom w:val="0"/>
      <w:divBdr>
        <w:top w:val="none" w:sz="0" w:space="0" w:color="auto"/>
        <w:left w:val="none" w:sz="0" w:space="0" w:color="auto"/>
        <w:bottom w:val="none" w:sz="0" w:space="0" w:color="auto"/>
        <w:right w:val="none" w:sz="0" w:space="0" w:color="auto"/>
      </w:divBdr>
    </w:div>
    <w:div w:id="974481247">
      <w:bodyDiv w:val="1"/>
      <w:marLeft w:val="0"/>
      <w:marRight w:val="0"/>
      <w:marTop w:val="0"/>
      <w:marBottom w:val="0"/>
      <w:divBdr>
        <w:top w:val="none" w:sz="0" w:space="0" w:color="auto"/>
        <w:left w:val="none" w:sz="0" w:space="0" w:color="auto"/>
        <w:bottom w:val="none" w:sz="0" w:space="0" w:color="auto"/>
        <w:right w:val="none" w:sz="0" w:space="0" w:color="auto"/>
      </w:divBdr>
    </w:div>
    <w:div w:id="981926289">
      <w:bodyDiv w:val="1"/>
      <w:marLeft w:val="0"/>
      <w:marRight w:val="0"/>
      <w:marTop w:val="0"/>
      <w:marBottom w:val="0"/>
      <w:divBdr>
        <w:top w:val="none" w:sz="0" w:space="0" w:color="auto"/>
        <w:left w:val="none" w:sz="0" w:space="0" w:color="auto"/>
        <w:bottom w:val="none" w:sz="0" w:space="0" w:color="auto"/>
        <w:right w:val="none" w:sz="0" w:space="0" w:color="auto"/>
      </w:divBdr>
    </w:div>
    <w:div w:id="989557413">
      <w:bodyDiv w:val="1"/>
      <w:marLeft w:val="0"/>
      <w:marRight w:val="0"/>
      <w:marTop w:val="0"/>
      <w:marBottom w:val="0"/>
      <w:divBdr>
        <w:top w:val="none" w:sz="0" w:space="0" w:color="auto"/>
        <w:left w:val="none" w:sz="0" w:space="0" w:color="auto"/>
        <w:bottom w:val="none" w:sz="0" w:space="0" w:color="auto"/>
        <w:right w:val="none" w:sz="0" w:space="0" w:color="auto"/>
      </w:divBdr>
    </w:div>
    <w:div w:id="1004476317">
      <w:bodyDiv w:val="1"/>
      <w:marLeft w:val="0"/>
      <w:marRight w:val="0"/>
      <w:marTop w:val="0"/>
      <w:marBottom w:val="0"/>
      <w:divBdr>
        <w:top w:val="none" w:sz="0" w:space="0" w:color="auto"/>
        <w:left w:val="none" w:sz="0" w:space="0" w:color="auto"/>
        <w:bottom w:val="none" w:sz="0" w:space="0" w:color="auto"/>
        <w:right w:val="none" w:sz="0" w:space="0" w:color="auto"/>
      </w:divBdr>
    </w:div>
    <w:div w:id="1005858337">
      <w:bodyDiv w:val="1"/>
      <w:marLeft w:val="0"/>
      <w:marRight w:val="0"/>
      <w:marTop w:val="0"/>
      <w:marBottom w:val="0"/>
      <w:divBdr>
        <w:top w:val="none" w:sz="0" w:space="0" w:color="auto"/>
        <w:left w:val="none" w:sz="0" w:space="0" w:color="auto"/>
        <w:bottom w:val="none" w:sz="0" w:space="0" w:color="auto"/>
        <w:right w:val="none" w:sz="0" w:space="0" w:color="auto"/>
      </w:divBdr>
    </w:div>
    <w:div w:id="1007488432">
      <w:bodyDiv w:val="1"/>
      <w:marLeft w:val="0"/>
      <w:marRight w:val="0"/>
      <w:marTop w:val="0"/>
      <w:marBottom w:val="0"/>
      <w:divBdr>
        <w:top w:val="none" w:sz="0" w:space="0" w:color="auto"/>
        <w:left w:val="none" w:sz="0" w:space="0" w:color="auto"/>
        <w:bottom w:val="none" w:sz="0" w:space="0" w:color="auto"/>
        <w:right w:val="none" w:sz="0" w:space="0" w:color="auto"/>
      </w:divBdr>
    </w:div>
    <w:div w:id="1011493036">
      <w:bodyDiv w:val="1"/>
      <w:marLeft w:val="0"/>
      <w:marRight w:val="0"/>
      <w:marTop w:val="0"/>
      <w:marBottom w:val="0"/>
      <w:divBdr>
        <w:top w:val="none" w:sz="0" w:space="0" w:color="auto"/>
        <w:left w:val="none" w:sz="0" w:space="0" w:color="auto"/>
        <w:bottom w:val="none" w:sz="0" w:space="0" w:color="auto"/>
        <w:right w:val="none" w:sz="0" w:space="0" w:color="auto"/>
      </w:divBdr>
    </w:div>
    <w:div w:id="1013920598">
      <w:bodyDiv w:val="1"/>
      <w:marLeft w:val="0"/>
      <w:marRight w:val="0"/>
      <w:marTop w:val="0"/>
      <w:marBottom w:val="0"/>
      <w:divBdr>
        <w:top w:val="none" w:sz="0" w:space="0" w:color="auto"/>
        <w:left w:val="none" w:sz="0" w:space="0" w:color="auto"/>
        <w:bottom w:val="none" w:sz="0" w:space="0" w:color="auto"/>
        <w:right w:val="none" w:sz="0" w:space="0" w:color="auto"/>
      </w:divBdr>
    </w:div>
    <w:div w:id="1019161922">
      <w:bodyDiv w:val="1"/>
      <w:marLeft w:val="0"/>
      <w:marRight w:val="0"/>
      <w:marTop w:val="0"/>
      <w:marBottom w:val="0"/>
      <w:divBdr>
        <w:top w:val="none" w:sz="0" w:space="0" w:color="auto"/>
        <w:left w:val="none" w:sz="0" w:space="0" w:color="auto"/>
        <w:bottom w:val="none" w:sz="0" w:space="0" w:color="auto"/>
        <w:right w:val="none" w:sz="0" w:space="0" w:color="auto"/>
      </w:divBdr>
    </w:div>
    <w:div w:id="1023942866">
      <w:bodyDiv w:val="1"/>
      <w:marLeft w:val="0"/>
      <w:marRight w:val="0"/>
      <w:marTop w:val="0"/>
      <w:marBottom w:val="0"/>
      <w:divBdr>
        <w:top w:val="none" w:sz="0" w:space="0" w:color="auto"/>
        <w:left w:val="none" w:sz="0" w:space="0" w:color="auto"/>
        <w:bottom w:val="none" w:sz="0" w:space="0" w:color="auto"/>
        <w:right w:val="none" w:sz="0" w:space="0" w:color="auto"/>
      </w:divBdr>
    </w:div>
    <w:div w:id="1027833619">
      <w:bodyDiv w:val="1"/>
      <w:marLeft w:val="0"/>
      <w:marRight w:val="0"/>
      <w:marTop w:val="0"/>
      <w:marBottom w:val="0"/>
      <w:divBdr>
        <w:top w:val="none" w:sz="0" w:space="0" w:color="auto"/>
        <w:left w:val="none" w:sz="0" w:space="0" w:color="auto"/>
        <w:bottom w:val="none" w:sz="0" w:space="0" w:color="auto"/>
        <w:right w:val="none" w:sz="0" w:space="0" w:color="auto"/>
      </w:divBdr>
    </w:div>
    <w:div w:id="1028986090">
      <w:bodyDiv w:val="1"/>
      <w:marLeft w:val="0"/>
      <w:marRight w:val="0"/>
      <w:marTop w:val="0"/>
      <w:marBottom w:val="0"/>
      <w:divBdr>
        <w:top w:val="none" w:sz="0" w:space="0" w:color="auto"/>
        <w:left w:val="none" w:sz="0" w:space="0" w:color="auto"/>
        <w:bottom w:val="none" w:sz="0" w:space="0" w:color="auto"/>
        <w:right w:val="none" w:sz="0" w:space="0" w:color="auto"/>
      </w:divBdr>
    </w:div>
    <w:div w:id="1034040015">
      <w:bodyDiv w:val="1"/>
      <w:marLeft w:val="0"/>
      <w:marRight w:val="0"/>
      <w:marTop w:val="0"/>
      <w:marBottom w:val="0"/>
      <w:divBdr>
        <w:top w:val="none" w:sz="0" w:space="0" w:color="auto"/>
        <w:left w:val="none" w:sz="0" w:space="0" w:color="auto"/>
        <w:bottom w:val="none" w:sz="0" w:space="0" w:color="auto"/>
        <w:right w:val="none" w:sz="0" w:space="0" w:color="auto"/>
      </w:divBdr>
    </w:div>
    <w:div w:id="1034961650">
      <w:bodyDiv w:val="1"/>
      <w:marLeft w:val="0"/>
      <w:marRight w:val="0"/>
      <w:marTop w:val="0"/>
      <w:marBottom w:val="0"/>
      <w:divBdr>
        <w:top w:val="none" w:sz="0" w:space="0" w:color="auto"/>
        <w:left w:val="none" w:sz="0" w:space="0" w:color="auto"/>
        <w:bottom w:val="none" w:sz="0" w:space="0" w:color="auto"/>
        <w:right w:val="none" w:sz="0" w:space="0" w:color="auto"/>
      </w:divBdr>
    </w:div>
    <w:div w:id="1042441465">
      <w:bodyDiv w:val="1"/>
      <w:marLeft w:val="0"/>
      <w:marRight w:val="0"/>
      <w:marTop w:val="0"/>
      <w:marBottom w:val="0"/>
      <w:divBdr>
        <w:top w:val="none" w:sz="0" w:space="0" w:color="auto"/>
        <w:left w:val="none" w:sz="0" w:space="0" w:color="auto"/>
        <w:bottom w:val="none" w:sz="0" w:space="0" w:color="auto"/>
        <w:right w:val="none" w:sz="0" w:space="0" w:color="auto"/>
      </w:divBdr>
    </w:div>
    <w:div w:id="1043940526">
      <w:bodyDiv w:val="1"/>
      <w:marLeft w:val="0"/>
      <w:marRight w:val="0"/>
      <w:marTop w:val="0"/>
      <w:marBottom w:val="0"/>
      <w:divBdr>
        <w:top w:val="none" w:sz="0" w:space="0" w:color="auto"/>
        <w:left w:val="none" w:sz="0" w:space="0" w:color="auto"/>
        <w:bottom w:val="none" w:sz="0" w:space="0" w:color="auto"/>
        <w:right w:val="none" w:sz="0" w:space="0" w:color="auto"/>
      </w:divBdr>
    </w:div>
    <w:div w:id="1049964089">
      <w:bodyDiv w:val="1"/>
      <w:marLeft w:val="0"/>
      <w:marRight w:val="0"/>
      <w:marTop w:val="0"/>
      <w:marBottom w:val="0"/>
      <w:divBdr>
        <w:top w:val="none" w:sz="0" w:space="0" w:color="auto"/>
        <w:left w:val="none" w:sz="0" w:space="0" w:color="auto"/>
        <w:bottom w:val="none" w:sz="0" w:space="0" w:color="auto"/>
        <w:right w:val="none" w:sz="0" w:space="0" w:color="auto"/>
      </w:divBdr>
    </w:div>
    <w:div w:id="1059015744">
      <w:bodyDiv w:val="1"/>
      <w:marLeft w:val="0"/>
      <w:marRight w:val="0"/>
      <w:marTop w:val="0"/>
      <w:marBottom w:val="0"/>
      <w:divBdr>
        <w:top w:val="none" w:sz="0" w:space="0" w:color="auto"/>
        <w:left w:val="none" w:sz="0" w:space="0" w:color="auto"/>
        <w:bottom w:val="none" w:sz="0" w:space="0" w:color="auto"/>
        <w:right w:val="none" w:sz="0" w:space="0" w:color="auto"/>
      </w:divBdr>
    </w:div>
    <w:div w:id="1060983996">
      <w:bodyDiv w:val="1"/>
      <w:marLeft w:val="0"/>
      <w:marRight w:val="0"/>
      <w:marTop w:val="0"/>
      <w:marBottom w:val="0"/>
      <w:divBdr>
        <w:top w:val="none" w:sz="0" w:space="0" w:color="auto"/>
        <w:left w:val="none" w:sz="0" w:space="0" w:color="auto"/>
        <w:bottom w:val="none" w:sz="0" w:space="0" w:color="auto"/>
        <w:right w:val="none" w:sz="0" w:space="0" w:color="auto"/>
      </w:divBdr>
    </w:div>
    <w:div w:id="1061296916">
      <w:bodyDiv w:val="1"/>
      <w:marLeft w:val="0"/>
      <w:marRight w:val="0"/>
      <w:marTop w:val="0"/>
      <w:marBottom w:val="0"/>
      <w:divBdr>
        <w:top w:val="none" w:sz="0" w:space="0" w:color="auto"/>
        <w:left w:val="none" w:sz="0" w:space="0" w:color="auto"/>
        <w:bottom w:val="none" w:sz="0" w:space="0" w:color="auto"/>
        <w:right w:val="none" w:sz="0" w:space="0" w:color="auto"/>
      </w:divBdr>
    </w:div>
    <w:div w:id="1067337382">
      <w:bodyDiv w:val="1"/>
      <w:marLeft w:val="0"/>
      <w:marRight w:val="0"/>
      <w:marTop w:val="0"/>
      <w:marBottom w:val="0"/>
      <w:divBdr>
        <w:top w:val="none" w:sz="0" w:space="0" w:color="auto"/>
        <w:left w:val="none" w:sz="0" w:space="0" w:color="auto"/>
        <w:bottom w:val="none" w:sz="0" w:space="0" w:color="auto"/>
        <w:right w:val="none" w:sz="0" w:space="0" w:color="auto"/>
      </w:divBdr>
    </w:div>
    <w:div w:id="1067922001">
      <w:bodyDiv w:val="1"/>
      <w:marLeft w:val="0"/>
      <w:marRight w:val="0"/>
      <w:marTop w:val="0"/>
      <w:marBottom w:val="0"/>
      <w:divBdr>
        <w:top w:val="none" w:sz="0" w:space="0" w:color="auto"/>
        <w:left w:val="none" w:sz="0" w:space="0" w:color="auto"/>
        <w:bottom w:val="none" w:sz="0" w:space="0" w:color="auto"/>
        <w:right w:val="none" w:sz="0" w:space="0" w:color="auto"/>
      </w:divBdr>
    </w:div>
    <w:div w:id="1068307525">
      <w:bodyDiv w:val="1"/>
      <w:marLeft w:val="0"/>
      <w:marRight w:val="0"/>
      <w:marTop w:val="0"/>
      <w:marBottom w:val="0"/>
      <w:divBdr>
        <w:top w:val="none" w:sz="0" w:space="0" w:color="auto"/>
        <w:left w:val="none" w:sz="0" w:space="0" w:color="auto"/>
        <w:bottom w:val="none" w:sz="0" w:space="0" w:color="auto"/>
        <w:right w:val="none" w:sz="0" w:space="0" w:color="auto"/>
      </w:divBdr>
    </w:div>
    <w:div w:id="1068915523">
      <w:bodyDiv w:val="1"/>
      <w:marLeft w:val="0"/>
      <w:marRight w:val="0"/>
      <w:marTop w:val="0"/>
      <w:marBottom w:val="0"/>
      <w:divBdr>
        <w:top w:val="none" w:sz="0" w:space="0" w:color="auto"/>
        <w:left w:val="none" w:sz="0" w:space="0" w:color="auto"/>
        <w:bottom w:val="none" w:sz="0" w:space="0" w:color="auto"/>
        <w:right w:val="none" w:sz="0" w:space="0" w:color="auto"/>
      </w:divBdr>
    </w:div>
    <w:div w:id="1073242438">
      <w:bodyDiv w:val="1"/>
      <w:marLeft w:val="0"/>
      <w:marRight w:val="0"/>
      <w:marTop w:val="0"/>
      <w:marBottom w:val="0"/>
      <w:divBdr>
        <w:top w:val="none" w:sz="0" w:space="0" w:color="auto"/>
        <w:left w:val="none" w:sz="0" w:space="0" w:color="auto"/>
        <w:bottom w:val="none" w:sz="0" w:space="0" w:color="auto"/>
        <w:right w:val="none" w:sz="0" w:space="0" w:color="auto"/>
      </w:divBdr>
    </w:div>
    <w:div w:id="1081560049">
      <w:bodyDiv w:val="1"/>
      <w:marLeft w:val="0"/>
      <w:marRight w:val="0"/>
      <w:marTop w:val="0"/>
      <w:marBottom w:val="0"/>
      <w:divBdr>
        <w:top w:val="none" w:sz="0" w:space="0" w:color="auto"/>
        <w:left w:val="none" w:sz="0" w:space="0" w:color="auto"/>
        <w:bottom w:val="none" w:sz="0" w:space="0" w:color="auto"/>
        <w:right w:val="none" w:sz="0" w:space="0" w:color="auto"/>
      </w:divBdr>
    </w:div>
    <w:div w:id="1083916276">
      <w:bodyDiv w:val="1"/>
      <w:marLeft w:val="0"/>
      <w:marRight w:val="0"/>
      <w:marTop w:val="0"/>
      <w:marBottom w:val="0"/>
      <w:divBdr>
        <w:top w:val="none" w:sz="0" w:space="0" w:color="auto"/>
        <w:left w:val="none" w:sz="0" w:space="0" w:color="auto"/>
        <w:bottom w:val="none" w:sz="0" w:space="0" w:color="auto"/>
        <w:right w:val="none" w:sz="0" w:space="0" w:color="auto"/>
      </w:divBdr>
    </w:div>
    <w:div w:id="1094402161">
      <w:bodyDiv w:val="1"/>
      <w:marLeft w:val="0"/>
      <w:marRight w:val="0"/>
      <w:marTop w:val="0"/>
      <w:marBottom w:val="0"/>
      <w:divBdr>
        <w:top w:val="none" w:sz="0" w:space="0" w:color="auto"/>
        <w:left w:val="none" w:sz="0" w:space="0" w:color="auto"/>
        <w:bottom w:val="none" w:sz="0" w:space="0" w:color="auto"/>
        <w:right w:val="none" w:sz="0" w:space="0" w:color="auto"/>
      </w:divBdr>
    </w:div>
    <w:div w:id="1100028819">
      <w:bodyDiv w:val="1"/>
      <w:marLeft w:val="0"/>
      <w:marRight w:val="0"/>
      <w:marTop w:val="0"/>
      <w:marBottom w:val="0"/>
      <w:divBdr>
        <w:top w:val="none" w:sz="0" w:space="0" w:color="auto"/>
        <w:left w:val="none" w:sz="0" w:space="0" w:color="auto"/>
        <w:bottom w:val="none" w:sz="0" w:space="0" w:color="auto"/>
        <w:right w:val="none" w:sz="0" w:space="0" w:color="auto"/>
      </w:divBdr>
    </w:div>
    <w:div w:id="1117410011">
      <w:bodyDiv w:val="1"/>
      <w:marLeft w:val="0"/>
      <w:marRight w:val="0"/>
      <w:marTop w:val="0"/>
      <w:marBottom w:val="0"/>
      <w:divBdr>
        <w:top w:val="none" w:sz="0" w:space="0" w:color="auto"/>
        <w:left w:val="none" w:sz="0" w:space="0" w:color="auto"/>
        <w:bottom w:val="none" w:sz="0" w:space="0" w:color="auto"/>
        <w:right w:val="none" w:sz="0" w:space="0" w:color="auto"/>
      </w:divBdr>
    </w:div>
    <w:div w:id="1122462537">
      <w:bodyDiv w:val="1"/>
      <w:marLeft w:val="0"/>
      <w:marRight w:val="0"/>
      <w:marTop w:val="0"/>
      <w:marBottom w:val="0"/>
      <w:divBdr>
        <w:top w:val="none" w:sz="0" w:space="0" w:color="auto"/>
        <w:left w:val="none" w:sz="0" w:space="0" w:color="auto"/>
        <w:bottom w:val="none" w:sz="0" w:space="0" w:color="auto"/>
        <w:right w:val="none" w:sz="0" w:space="0" w:color="auto"/>
      </w:divBdr>
    </w:div>
    <w:div w:id="1124693857">
      <w:bodyDiv w:val="1"/>
      <w:marLeft w:val="0"/>
      <w:marRight w:val="0"/>
      <w:marTop w:val="0"/>
      <w:marBottom w:val="0"/>
      <w:divBdr>
        <w:top w:val="none" w:sz="0" w:space="0" w:color="auto"/>
        <w:left w:val="none" w:sz="0" w:space="0" w:color="auto"/>
        <w:bottom w:val="none" w:sz="0" w:space="0" w:color="auto"/>
        <w:right w:val="none" w:sz="0" w:space="0" w:color="auto"/>
      </w:divBdr>
    </w:div>
    <w:div w:id="1124999677">
      <w:bodyDiv w:val="1"/>
      <w:marLeft w:val="0"/>
      <w:marRight w:val="0"/>
      <w:marTop w:val="0"/>
      <w:marBottom w:val="0"/>
      <w:divBdr>
        <w:top w:val="none" w:sz="0" w:space="0" w:color="auto"/>
        <w:left w:val="none" w:sz="0" w:space="0" w:color="auto"/>
        <w:bottom w:val="none" w:sz="0" w:space="0" w:color="auto"/>
        <w:right w:val="none" w:sz="0" w:space="0" w:color="auto"/>
      </w:divBdr>
    </w:div>
    <w:div w:id="1144589825">
      <w:bodyDiv w:val="1"/>
      <w:marLeft w:val="0"/>
      <w:marRight w:val="0"/>
      <w:marTop w:val="0"/>
      <w:marBottom w:val="0"/>
      <w:divBdr>
        <w:top w:val="none" w:sz="0" w:space="0" w:color="auto"/>
        <w:left w:val="none" w:sz="0" w:space="0" w:color="auto"/>
        <w:bottom w:val="none" w:sz="0" w:space="0" w:color="auto"/>
        <w:right w:val="none" w:sz="0" w:space="0" w:color="auto"/>
      </w:divBdr>
    </w:div>
    <w:div w:id="1174150546">
      <w:bodyDiv w:val="1"/>
      <w:marLeft w:val="0"/>
      <w:marRight w:val="0"/>
      <w:marTop w:val="0"/>
      <w:marBottom w:val="0"/>
      <w:divBdr>
        <w:top w:val="none" w:sz="0" w:space="0" w:color="auto"/>
        <w:left w:val="none" w:sz="0" w:space="0" w:color="auto"/>
        <w:bottom w:val="none" w:sz="0" w:space="0" w:color="auto"/>
        <w:right w:val="none" w:sz="0" w:space="0" w:color="auto"/>
      </w:divBdr>
    </w:div>
    <w:div w:id="1184975942">
      <w:bodyDiv w:val="1"/>
      <w:marLeft w:val="0"/>
      <w:marRight w:val="0"/>
      <w:marTop w:val="0"/>
      <w:marBottom w:val="0"/>
      <w:divBdr>
        <w:top w:val="none" w:sz="0" w:space="0" w:color="auto"/>
        <w:left w:val="none" w:sz="0" w:space="0" w:color="auto"/>
        <w:bottom w:val="none" w:sz="0" w:space="0" w:color="auto"/>
        <w:right w:val="none" w:sz="0" w:space="0" w:color="auto"/>
      </w:divBdr>
    </w:div>
    <w:div w:id="1188524696">
      <w:bodyDiv w:val="1"/>
      <w:marLeft w:val="0"/>
      <w:marRight w:val="0"/>
      <w:marTop w:val="0"/>
      <w:marBottom w:val="0"/>
      <w:divBdr>
        <w:top w:val="none" w:sz="0" w:space="0" w:color="auto"/>
        <w:left w:val="none" w:sz="0" w:space="0" w:color="auto"/>
        <w:bottom w:val="none" w:sz="0" w:space="0" w:color="auto"/>
        <w:right w:val="none" w:sz="0" w:space="0" w:color="auto"/>
      </w:divBdr>
    </w:div>
    <w:div w:id="1200971716">
      <w:bodyDiv w:val="1"/>
      <w:marLeft w:val="0"/>
      <w:marRight w:val="0"/>
      <w:marTop w:val="0"/>
      <w:marBottom w:val="0"/>
      <w:divBdr>
        <w:top w:val="none" w:sz="0" w:space="0" w:color="auto"/>
        <w:left w:val="none" w:sz="0" w:space="0" w:color="auto"/>
        <w:bottom w:val="none" w:sz="0" w:space="0" w:color="auto"/>
        <w:right w:val="none" w:sz="0" w:space="0" w:color="auto"/>
      </w:divBdr>
    </w:div>
    <w:div w:id="1201699152">
      <w:bodyDiv w:val="1"/>
      <w:marLeft w:val="0"/>
      <w:marRight w:val="0"/>
      <w:marTop w:val="0"/>
      <w:marBottom w:val="0"/>
      <w:divBdr>
        <w:top w:val="none" w:sz="0" w:space="0" w:color="auto"/>
        <w:left w:val="none" w:sz="0" w:space="0" w:color="auto"/>
        <w:bottom w:val="none" w:sz="0" w:space="0" w:color="auto"/>
        <w:right w:val="none" w:sz="0" w:space="0" w:color="auto"/>
      </w:divBdr>
    </w:div>
    <w:div w:id="1205555864">
      <w:bodyDiv w:val="1"/>
      <w:marLeft w:val="0"/>
      <w:marRight w:val="0"/>
      <w:marTop w:val="0"/>
      <w:marBottom w:val="0"/>
      <w:divBdr>
        <w:top w:val="none" w:sz="0" w:space="0" w:color="auto"/>
        <w:left w:val="none" w:sz="0" w:space="0" w:color="auto"/>
        <w:bottom w:val="none" w:sz="0" w:space="0" w:color="auto"/>
        <w:right w:val="none" w:sz="0" w:space="0" w:color="auto"/>
      </w:divBdr>
    </w:div>
    <w:div w:id="1223518417">
      <w:bodyDiv w:val="1"/>
      <w:marLeft w:val="0"/>
      <w:marRight w:val="0"/>
      <w:marTop w:val="0"/>
      <w:marBottom w:val="0"/>
      <w:divBdr>
        <w:top w:val="none" w:sz="0" w:space="0" w:color="auto"/>
        <w:left w:val="none" w:sz="0" w:space="0" w:color="auto"/>
        <w:bottom w:val="none" w:sz="0" w:space="0" w:color="auto"/>
        <w:right w:val="none" w:sz="0" w:space="0" w:color="auto"/>
      </w:divBdr>
    </w:div>
    <w:div w:id="1223638652">
      <w:bodyDiv w:val="1"/>
      <w:marLeft w:val="0"/>
      <w:marRight w:val="0"/>
      <w:marTop w:val="0"/>
      <w:marBottom w:val="0"/>
      <w:divBdr>
        <w:top w:val="none" w:sz="0" w:space="0" w:color="auto"/>
        <w:left w:val="none" w:sz="0" w:space="0" w:color="auto"/>
        <w:bottom w:val="none" w:sz="0" w:space="0" w:color="auto"/>
        <w:right w:val="none" w:sz="0" w:space="0" w:color="auto"/>
      </w:divBdr>
    </w:div>
    <w:div w:id="1225264863">
      <w:bodyDiv w:val="1"/>
      <w:marLeft w:val="0"/>
      <w:marRight w:val="0"/>
      <w:marTop w:val="0"/>
      <w:marBottom w:val="0"/>
      <w:divBdr>
        <w:top w:val="none" w:sz="0" w:space="0" w:color="auto"/>
        <w:left w:val="none" w:sz="0" w:space="0" w:color="auto"/>
        <w:bottom w:val="none" w:sz="0" w:space="0" w:color="auto"/>
        <w:right w:val="none" w:sz="0" w:space="0" w:color="auto"/>
      </w:divBdr>
    </w:div>
    <w:div w:id="1236091056">
      <w:bodyDiv w:val="1"/>
      <w:marLeft w:val="0"/>
      <w:marRight w:val="0"/>
      <w:marTop w:val="0"/>
      <w:marBottom w:val="0"/>
      <w:divBdr>
        <w:top w:val="none" w:sz="0" w:space="0" w:color="auto"/>
        <w:left w:val="none" w:sz="0" w:space="0" w:color="auto"/>
        <w:bottom w:val="none" w:sz="0" w:space="0" w:color="auto"/>
        <w:right w:val="none" w:sz="0" w:space="0" w:color="auto"/>
      </w:divBdr>
    </w:div>
    <w:div w:id="1236356554">
      <w:bodyDiv w:val="1"/>
      <w:marLeft w:val="0"/>
      <w:marRight w:val="0"/>
      <w:marTop w:val="0"/>
      <w:marBottom w:val="0"/>
      <w:divBdr>
        <w:top w:val="none" w:sz="0" w:space="0" w:color="auto"/>
        <w:left w:val="none" w:sz="0" w:space="0" w:color="auto"/>
        <w:bottom w:val="none" w:sz="0" w:space="0" w:color="auto"/>
        <w:right w:val="none" w:sz="0" w:space="0" w:color="auto"/>
      </w:divBdr>
    </w:div>
    <w:div w:id="1236478881">
      <w:bodyDiv w:val="1"/>
      <w:marLeft w:val="0"/>
      <w:marRight w:val="0"/>
      <w:marTop w:val="0"/>
      <w:marBottom w:val="0"/>
      <w:divBdr>
        <w:top w:val="none" w:sz="0" w:space="0" w:color="auto"/>
        <w:left w:val="none" w:sz="0" w:space="0" w:color="auto"/>
        <w:bottom w:val="none" w:sz="0" w:space="0" w:color="auto"/>
        <w:right w:val="none" w:sz="0" w:space="0" w:color="auto"/>
      </w:divBdr>
    </w:div>
    <w:div w:id="1239705601">
      <w:bodyDiv w:val="1"/>
      <w:marLeft w:val="0"/>
      <w:marRight w:val="0"/>
      <w:marTop w:val="0"/>
      <w:marBottom w:val="0"/>
      <w:divBdr>
        <w:top w:val="none" w:sz="0" w:space="0" w:color="auto"/>
        <w:left w:val="none" w:sz="0" w:space="0" w:color="auto"/>
        <w:bottom w:val="none" w:sz="0" w:space="0" w:color="auto"/>
        <w:right w:val="none" w:sz="0" w:space="0" w:color="auto"/>
      </w:divBdr>
    </w:div>
    <w:div w:id="1239898853">
      <w:bodyDiv w:val="1"/>
      <w:marLeft w:val="0"/>
      <w:marRight w:val="0"/>
      <w:marTop w:val="0"/>
      <w:marBottom w:val="0"/>
      <w:divBdr>
        <w:top w:val="none" w:sz="0" w:space="0" w:color="auto"/>
        <w:left w:val="none" w:sz="0" w:space="0" w:color="auto"/>
        <w:bottom w:val="none" w:sz="0" w:space="0" w:color="auto"/>
        <w:right w:val="none" w:sz="0" w:space="0" w:color="auto"/>
      </w:divBdr>
    </w:div>
    <w:div w:id="1244294210">
      <w:bodyDiv w:val="1"/>
      <w:marLeft w:val="0"/>
      <w:marRight w:val="0"/>
      <w:marTop w:val="0"/>
      <w:marBottom w:val="0"/>
      <w:divBdr>
        <w:top w:val="none" w:sz="0" w:space="0" w:color="auto"/>
        <w:left w:val="none" w:sz="0" w:space="0" w:color="auto"/>
        <w:bottom w:val="none" w:sz="0" w:space="0" w:color="auto"/>
        <w:right w:val="none" w:sz="0" w:space="0" w:color="auto"/>
      </w:divBdr>
    </w:div>
    <w:div w:id="1244989820">
      <w:bodyDiv w:val="1"/>
      <w:marLeft w:val="0"/>
      <w:marRight w:val="0"/>
      <w:marTop w:val="0"/>
      <w:marBottom w:val="0"/>
      <w:divBdr>
        <w:top w:val="none" w:sz="0" w:space="0" w:color="auto"/>
        <w:left w:val="none" w:sz="0" w:space="0" w:color="auto"/>
        <w:bottom w:val="none" w:sz="0" w:space="0" w:color="auto"/>
        <w:right w:val="none" w:sz="0" w:space="0" w:color="auto"/>
      </w:divBdr>
    </w:div>
    <w:div w:id="1249727748">
      <w:bodyDiv w:val="1"/>
      <w:marLeft w:val="0"/>
      <w:marRight w:val="0"/>
      <w:marTop w:val="0"/>
      <w:marBottom w:val="0"/>
      <w:divBdr>
        <w:top w:val="none" w:sz="0" w:space="0" w:color="auto"/>
        <w:left w:val="none" w:sz="0" w:space="0" w:color="auto"/>
        <w:bottom w:val="none" w:sz="0" w:space="0" w:color="auto"/>
        <w:right w:val="none" w:sz="0" w:space="0" w:color="auto"/>
      </w:divBdr>
    </w:div>
    <w:div w:id="1260716146">
      <w:bodyDiv w:val="1"/>
      <w:marLeft w:val="0"/>
      <w:marRight w:val="0"/>
      <w:marTop w:val="0"/>
      <w:marBottom w:val="0"/>
      <w:divBdr>
        <w:top w:val="none" w:sz="0" w:space="0" w:color="auto"/>
        <w:left w:val="none" w:sz="0" w:space="0" w:color="auto"/>
        <w:bottom w:val="none" w:sz="0" w:space="0" w:color="auto"/>
        <w:right w:val="none" w:sz="0" w:space="0" w:color="auto"/>
      </w:divBdr>
    </w:div>
    <w:div w:id="1267276975">
      <w:bodyDiv w:val="1"/>
      <w:marLeft w:val="0"/>
      <w:marRight w:val="0"/>
      <w:marTop w:val="0"/>
      <w:marBottom w:val="0"/>
      <w:divBdr>
        <w:top w:val="none" w:sz="0" w:space="0" w:color="auto"/>
        <w:left w:val="none" w:sz="0" w:space="0" w:color="auto"/>
        <w:bottom w:val="none" w:sz="0" w:space="0" w:color="auto"/>
        <w:right w:val="none" w:sz="0" w:space="0" w:color="auto"/>
      </w:divBdr>
    </w:div>
    <w:div w:id="1269236854">
      <w:bodyDiv w:val="1"/>
      <w:marLeft w:val="0"/>
      <w:marRight w:val="0"/>
      <w:marTop w:val="0"/>
      <w:marBottom w:val="0"/>
      <w:divBdr>
        <w:top w:val="none" w:sz="0" w:space="0" w:color="auto"/>
        <w:left w:val="none" w:sz="0" w:space="0" w:color="auto"/>
        <w:bottom w:val="none" w:sz="0" w:space="0" w:color="auto"/>
        <w:right w:val="none" w:sz="0" w:space="0" w:color="auto"/>
      </w:divBdr>
    </w:div>
    <w:div w:id="1270242335">
      <w:bodyDiv w:val="1"/>
      <w:marLeft w:val="0"/>
      <w:marRight w:val="0"/>
      <w:marTop w:val="0"/>
      <w:marBottom w:val="0"/>
      <w:divBdr>
        <w:top w:val="none" w:sz="0" w:space="0" w:color="auto"/>
        <w:left w:val="none" w:sz="0" w:space="0" w:color="auto"/>
        <w:bottom w:val="none" w:sz="0" w:space="0" w:color="auto"/>
        <w:right w:val="none" w:sz="0" w:space="0" w:color="auto"/>
      </w:divBdr>
    </w:div>
    <w:div w:id="1274170442">
      <w:bodyDiv w:val="1"/>
      <w:marLeft w:val="0"/>
      <w:marRight w:val="0"/>
      <w:marTop w:val="0"/>
      <w:marBottom w:val="0"/>
      <w:divBdr>
        <w:top w:val="none" w:sz="0" w:space="0" w:color="auto"/>
        <w:left w:val="none" w:sz="0" w:space="0" w:color="auto"/>
        <w:bottom w:val="none" w:sz="0" w:space="0" w:color="auto"/>
        <w:right w:val="none" w:sz="0" w:space="0" w:color="auto"/>
      </w:divBdr>
    </w:div>
    <w:div w:id="1280574385">
      <w:bodyDiv w:val="1"/>
      <w:marLeft w:val="0"/>
      <w:marRight w:val="0"/>
      <w:marTop w:val="0"/>
      <w:marBottom w:val="0"/>
      <w:divBdr>
        <w:top w:val="none" w:sz="0" w:space="0" w:color="auto"/>
        <w:left w:val="none" w:sz="0" w:space="0" w:color="auto"/>
        <w:bottom w:val="none" w:sz="0" w:space="0" w:color="auto"/>
        <w:right w:val="none" w:sz="0" w:space="0" w:color="auto"/>
      </w:divBdr>
    </w:div>
    <w:div w:id="1282690984">
      <w:bodyDiv w:val="1"/>
      <w:marLeft w:val="0"/>
      <w:marRight w:val="0"/>
      <w:marTop w:val="0"/>
      <w:marBottom w:val="0"/>
      <w:divBdr>
        <w:top w:val="none" w:sz="0" w:space="0" w:color="auto"/>
        <w:left w:val="none" w:sz="0" w:space="0" w:color="auto"/>
        <w:bottom w:val="none" w:sz="0" w:space="0" w:color="auto"/>
        <w:right w:val="none" w:sz="0" w:space="0" w:color="auto"/>
      </w:divBdr>
    </w:div>
    <w:div w:id="1284311511">
      <w:bodyDiv w:val="1"/>
      <w:marLeft w:val="0"/>
      <w:marRight w:val="0"/>
      <w:marTop w:val="0"/>
      <w:marBottom w:val="0"/>
      <w:divBdr>
        <w:top w:val="none" w:sz="0" w:space="0" w:color="auto"/>
        <w:left w:val="none" w:sz="0" w:space="0" w:color="auto"/>
        <w:bottom w:val="none" w:sz="0" w:space="0" w:color="auto"/>
        <w:right w:val="none" w:sz="0" w:space="0" w:color="auto"/>
      </w:divBdr>
    </w:div>
    <w:div w:id="1287542234">
      <w:bodyDiv w:val="1"/>
      <w:marLeft w:val="0"/>
      <w:marRight w:val="0"/>
      <w:marTop w:val="0"/>
      <w:marBottom w:val="0"/>
      <w:divBdr>
        <w:top w:val="none" w:sz="0" w:space="0" w:color="auto"/>
        <w:left w:val="none" w:sz="0" w:space="0" w:color="auto"/>
        <w:bottom w:val="none" w:sz="0" w:space="0" w:color="auto"/>
        <w:right w:val="none" w:sz="0" w:space="0" w:color="auto"/>
      </w:divBdr>
    </w:div>
    <w:div w:id="1287927694">
      <w:bodyDiv w:val="1"/>
      <w:marLeft w:val="0"/>
      <w:marRight w:val="0"/>
      <w:marTop w:val="0"/>
      <w:marBottom w:val="0"/>
      <w:divBdr>
        <w:top w:val="none" w:sz="0" w:space="0" w:color="auto"/>
        <w:left w:val="none" w:sz="0" w:space="0" w:color="auto"/>
        <w:bottom w:val="none" w:sz="0" w:space="0" w:color="auto"/>
        <w:right w:val="none" w:sz="0" w:space="0" w:color="auto"/>
      </w:divBdr>
    </w:div>
    <w:div w:id="1304314865">
      <w:bodyDiv w:val="1"/>
      <w:marLeft w:val="0"/>
      <w:marRight w:val="0"/>
      <w:marTop w:val="0"/>
      <w:marBottom w:val="0"/>
      <w:divBdr>
        <w:top w:val="none" w:sz="0" w:space="0" w:color="auto"/>
        <w:left w:val="none" w:sz="0" w:space="0" w:color="auto"/>
        <w:bottom w:val="none" w:sz="0" w:space="0" w:color="auto"/>
        <w:right w:val="none" w:sz="0" w:space="0" w:color="auto"/>
      </w:divBdr>
    </w:div>
    <w:div w:id="1304851754">
      <w:bodyDiv w:val="1"/>
      <w:marLeft w:val="0"/>
      <w:marRight w:val="0"/>
      <w:marTop w:val="0"/>
      <w:marBottom w:val="0"/>
      <w:divBdr>
        <w:top w:val="none" w:sz="0" w:space="0" w:color="auto"/>
        <w:left w:val="none" w:sz="0" w:space="0" w:color="auto"/>
        <w:bottom w:val="none" w:sz="0" w:space="0" w:color="auto"/>
        <w:right w:val="none" w:sz="0" w:space="0" w:color="auto"/>
      </w:divBdr>
    </w:div>
    <w:div w:id="1305814500">
      <w:bodyDiv w:val="1"/>
      <w:marLeft w:val="0"/>
      <w:marRight w:val="0"/>
      <w:marTop w:val="0"/>
      <w:marBottom w:val="0"/>
      <w:divBdr>
        <w:top w:val="none" w:sz="0" w:space="0" w:color="auto"/>
        <w:left w:val="none" w:sz="0" w:space="0" w:color="auto"/>
        <w:bottom w:val="none" w:sz="0" w:space="0" w:color="auto"/>
        <w:right w:val="none" w:sz="0" w:space="0" w:color="auto"/>
      </w:divBdr>
    </w:div>
    <w:div w:id="1306855811">
      <w:bodyDiv w:val="1"/>
      <w:marLeft w:val="0"/>
      <w:marRight w:val="0"/>
      <w:marTop w:val="0"/>
      <w:marBottom w:val="0"/>
      <w:divBdr>
        <w:top w:val="none" w:sz="0" w:space="0" w:color="auto"/>
        <w:left w:val="none" w:sz="0" w:space="0" w:color="auto"/>
        <w:bottom w:val="none" w:sz="0" w:space="0" w:color="auto"/>
        <w:right w:val="none" w:sz="0" w:space="0" w:color="auto"/>
      </w:divBdr>
    </w:div>
    <w:div w:id="1318650126">
      <w:bodyDiv w:val="1"/>
      <w:marLeft w:val="0"/>
      <w:marRight w:val="0"/>
      <w:marTop w:val="0"/>
      <w:marBottom w:val="0"/>
      <w:divBdr>
        <w:top w:val="none" w:sz="0" w:space="0" w:color="auto"/>
        <w:left w:val="none" w:sz="0" w:space="0" w:color="auto"/>
        <w:bottom w:val="none" w:sz="0" w:space="0" w:color="auto"/>
        <w:right w:val="none" w:sz="0" w:space="0" w:color="auto"/>
      </w:divBdr>
    </w:div>
    <w:div w:id="1322931220">
      <w:bodyDiv w:val="1"/>
      <w:marLeft w:val="0"/>
      <w:marRight w:val="0"/>
      <w:marTop w:val="0"/>
      <w:marBottom w:val="0"/>
      <w:divBdr>
        <w:top w:val="none" w:sz="0" w:space="0" w:color="auto"/>
        <w:left w:val="none" w:sz="0" w:space="0" w:color="auto"/>
        <w:bottom w:val="none" w:sz="0" w:space="0" w:color="auto"/>
        <w:right w:val="none" w:sz="0" w:space="0" w:color="auto"/>
      </w:divBdr>
    </w:div>
    <w:div w:id="1326788553">
      <w:bodyDiv w:val="1"/>
      <w:marLeft w:val="0"/>
      <w:marRight w:val="0"/>
      <w:marTop w:val="0"/>
      <w:marBottom w:val="0"/>
      <w:divBdr>
        <w:top w:val="none" w:sz="0" w:space="0" w:color="auto"/>
        <w:left w:val="none" w:sz="0" w:space="0" w:color="auto"/>
        <w:bottom w:val="none" w:sz="0" w:space="0" w:color="auto"/>
        <w:right w:val="none" w:sz="0" w:space="0" w:color="auto"/>
      </w:divBdr>
    </w:div>
    <w:div w:id="1348361602">
      <w:bodyDiv w:val="1"/>
      <w:marLeft w:val="0"/>
      <w:marRight w:val="0"/>
      <w:marTop w:val="0"/>
      <w:marBottom w:val="0"/>
      <w:divBdr>
        <w:top w:val="none" w:sz="0" w:space="0" w:color="auto"/>
        <w:left w:val="none" w:sz="0" w:space="0" w:color="auto"/>
        <w:bottom w:val="none" w:sz="0" w:space="0" w:color="auto"/>
        <w:right w:val="none" w:sz="0" w:space="0" w:color="auto"/>
      </w:divBdr>
    </w:div>
    <w:div w:id="1354577222">
      <w:bodyDiv w:val="1"/>
      <w:marLeft w:val="0"/>
      <w:marRight w:val="0"/>
      <w:marTop w:val="0"/>
      <w:marBottom w:val="0"/>
      <w:divBdr>
        <w:top w:val="none" w:sz="0" w:space="0" w:color="auto"/>
        <w:left w:val="none" w:sz="0" w:space="0" w:color="auto"/>
        <w:bottom w:val="none" w:sz="0" w:space="0" w:color="auto"/>
        <w:right w:val="none" w:sz="0" w:space="0" w:color="auto"/>
      </w:divBdr>
    </w:div>
    <w:div w:id="1355109715">
      <w:bodyDiv w:val="1"/>
      <w:marLeft w:val="0"/>
      <w:marRight w:val="0"/>
      <w:marTop w:val="0"/>
      <w:marBottom w:val="0"/>
      <w:divBdr>
        <w:top w:val="none" w:sz="0" w:space="0" w:color="auto"/>
        <w:left w:val="none" w:sz="0" w:space="0" w:color="auto"/>
        <w:bottom w:val="none" w:sz="0" w:space="0" w:color="auto"/>
        <w:right w:val="none" w:sz="0" w:space="0" w:color="auto"/>
      </w:divBdr>
    </w:div>
    <w:div w:id="1356077505">
      <w:bodyDiv w:val="1"/>
      <w:marLeft w:val="0"/>
      <w:marRight w:val="0"/>
      <w:marTop w:val="0"/>
      <w:marBottom w:val="0"/>
      <w:divBdr>
        <w:top w:val="none" w:sz="0" w:space="0" w:color="auto"/>
        <w:left w:val="none" w:sz="0" w:space="0" w:color="auto"/>
        <w:bottom w:val="none" w:sz="0" w:space="0" w:color="auto"/>
        <w:right w:val="none" w:sz="0" w:space="0" w:color="auto"/>
      </w:divBdr>
    </w:div>
    <w:div w:id="1365013255">
      <w:bodyDiv w:val="1"/>
      <w:marLeft w:val="0"/>
      <w:marRight w:val="0"/>
      <w:marTop w:val="0"/>
      <w:marBottom w:val="0"/>
      <w:divBdr>
        <w:top w:val="none" w:sz="0" w:space="0" w:color="auto"/>
        <w:left w:val="none" w:sz="0" w:space="0" w:color="auto"/>
        <w:bottom w:val="none" w:sz="0" w:space="0" w:color="auto"/>
        <w:right w:val="none" w:sz="0" w:space="0" w:color="auto"/>
      </w:divBdr>
    </w:div>
    <w:div w:id="1373075505">
      <w:bodyDiv w:val="1"/>
      <w:marLeft w:val="0"/>
      <w:marRight w:val="0"/>
      <w:marTop w:val="0"/>
      <w:marBottom w:val="0"/>
      <w:divBdr>
        <w:top w:val="none" w:sz="0" w:space="0" w:color="auto"/>
        <w:left w:val="none" w:sz="0" w:space="0" w:color="auto"/>
        <w:bottom w:val="none" w:sz="0" w:space="0" w:color="auto"/>
        <w:right w:val="none" w:sz="0" w:space="0" w:color="auto"/>
      </w:divBdr>
    </w:div>
    <w:div w:id="1373652371">
      <w:bodyDiv w:val="1"/>
      <w:marLeft w:val="0"/>
      <w:marRight w:val="0"/>
      <w:marTop w:val="0"/>
      <w:marBottom w:val="0"/>
      <w:divBdr>
        <w:top w:val="none" w:sz="0" w:space="0" w:color="auto"/>
        <w:left w:val="none" w:sz="0" w:space="0" w:color="auto"/>
        <w:bottom w:val="none" w:sz="0" w:space="0" w:color="auto"/>
        <w:right w:val="none" w:sz="0" w:space="0" w:color="auto"/>
      </w:divBdr>
    </w:div>
    <w:div w:id="1379284345">
      <w:bodyDiv w:val="1"/>
      <w:marLeft w:val="0"/>
      <w:marRight w:val="0"/>
      <w:marTop w:val="0"/>
      <w:marBottom w:val="0"/>
      <w:divBdr>
        <w:top w:val="none" w:sz="0" w:space="0" w:color="auto"/>
        <w:left w:val="none" w:sz="0" w:space="0" w:color="auto"/>
        <w:bottom w:val="none" w:sz="0" w:space="0" w:color="auto"/>
        <w:right w:val="none" w:sz="0" w:space="0" w:color="auto"/>
      </w:divBdr>
    </w:div>
    <w:div w:id="1386441740">
      <w:bodyDiv w:val="1"/>
      <w:marLeft w:val="0"/>
      <w:marRight w:val="0"/>
      <w:marTop w:val="0"/>
      <w:marBottom w:val="0"/>
      <w:divBdr>
        <w:top w:val="none" w:sz="0" w:space="0" w:color="auto"/>
        <w:left w:val="none" w:sz="0" w:space="0" w:color="auto"/>
        <w:bottom w:val="none" w:sz="0" w:space="0" w:color="auto"/>
        <w:right w:val="none" w:sz="0" w:space="0" w:color="auto"/>
      </w:divBdr>
    </w:div>
    <w:div w:id="1386565273">
      <w:bodyDiv w:val="1"/>
      <w:marLeft w:val="0"/>
      <w:marRight w:val="0"/>
      <w:marTop w:val="0"/>
      <w:marBottom w:val="0"/>
      <w:divBdr>
        <w:top w:val="none" w:sz="0" w:space="0" w:color="auto"/>
        <w:left w:val="none" w:sz="0" w:space="0" w:color="auto"/>
        <w:bottom w:val="none" w:sz="0" w:space="0" w:color="auto"/>
        <w:right w:val="none" w:sz="0" w:space="0" w:color="auto"/>
      </w:divBdr>
    </w:div>
    <w:div w:id="1386828526">
      <w:bodyDiv w:val="1"/>
      <w:marLeft w:val="0"/>
      <w:marRight w:val="0"/>
      <w:marTop w:val="0"/>
      <w:marBottom w:val="0"/>
      <w:divBdr>
        <w:top w:val="none" w:sz="0" w:space="0" w:color="auto"/>
        <w:left w:val="none" w:sz="0" w:space="0" w:color="auto"/>
        <w:bottom w:val="none" w:sz="0" w:space="0" w:color="auto"/>
        <w:right w:val="none" w:sz="0" w:space="0" w:color="auto"/>
      </w:divBdr>
    </w:div>
    <w:div w:id="1393578626">
      <w:bodyDiv w:val="1"/>
      <w:marLeft w:val="0"/>
      <w:marRight w:val="0"/>
      <w:marTop w:val="0"/>
      <w:marBottom w:val="0"/>
      <w:divBdr>
        <w:top w:val="none" w:sz="0" w:space="0" w:color="auto"/>
        <w:left w:val="none" w:sz="0" w:space="0" w:color="auto"/>
        <w:bottom w:val="none" w:sz="0" w:space="0" w:color="auto"/>
        <w:right w:val="none" w:sz="0" w:space="0" w:color="auto"/>
      </w:divBdr>
    </w:div>
    <w:div w:id="1397507516">
      <w:bodyDiv w:val="1"/>
      <w:marLeft w:val="0"/>
      <w:marRight w:val="0"/>
      <w:marTop w:val="0"/>
      <w:marBottom w:val="0"/>
      <w:divBdr>
        <w:top w:val="none" w:sz="0" w:space="0" w:color="auto"/>
        <w:left w:val="none" w:sz="0" w:space="0" w:color="auto"/>
        <w:bottom w:val="none" w:sz="0" w:space="0" w:color="auto"/>
        <w:right w:val="none" w:sz="0" w:space="0" w:color="auto"/>
      </w:divBdr>
    </w:div>
    <w:div w:id="1398355806">
      <w:bodyDiv w:val="1"/>
      <w:marLeft w:val="0"/>
      <w:marRight w:val="0"/>
      <w:marTop w:val="0"/>
      <w:marBottom w:val="0"/>
      <w:divBdr>
        <w:top w:val="none" w:sz="0" w:space="0" w:color="auto"/>
        <w:left w:val="none" w:sz="0" w:space="0" w:color="auto"/>
        <w:bottom w:val="none" w:sz="0" w:space="0" w:color="auto"/>
        <w:right w:val="none" w:sz="0" w:space="0" w:color="auto"/>
      </w:divBdr>
    </w:div>
    <w:div w:id="1406486986">
      <w:bodyDiv w:val="1"/>
      <w:marLeft w:val="0"/>
      <w:marRight w:val="0"/>
      <w:marTop w:val="0"/>
      <w:marBottom w:val="0"/>
      <w:divBdr>
        <w:top w:val="none" w:sz="0" w:space="0" w:color="auto"/>
        <w:left w:val="none" w:sz="0" w:space="0" w:color="auto"/>
        <w:bottom w:val="none" w:sz="0" w:space="0" w:color="auto"/>
        <w:right w:val="none" w:sz="0" w:space="0" w:color="auto"/>
      </w:divBdr>
    </w:div>
    <w:div w:id="1410035782">
      <w:bodyDiv w:val="1"/>
      <w:marLeft w:val="0"/>
      <w:marRight w:val="0"/>
      <w:marTop w:val="0"/>
      <w:marBottom w:val="0"/>
      <w:divBdr>
        <w:top w:val="none" w:sz="0" w:space="0" w:color="auto"/>
        <w:left w:val="none" w:sz="0" w:space="0" w:color="auto"/>
        <w:bottom w:val="none" w:sz="0" w:space="0" w:color="auto"/>
        <w:right w:val="none" w:sz="0" w:space="0" w:color="auto"/>
      </w:divBdr>
    </w:div>
    <w:div w:id="1413434358">
      <w:bodyDiv w:val="1"/>
      <w:marLeft w:val="0"/>
      <w:marRight w:val="0"/>
      <w:marTop w:val="0"/>
      <w:marBottom w:val="0"/>
      <w:divBdr>
        <w:top w:val="none" w:sz="0" w:space="0" w:color="auto"/>
        <w:left w:val="none" w:sz="0" w:space="0" w:color="auto"/>
        <w:bottom w:val="none" w:sz="0" w:space="0" w:color="auto"/>
        <w:right w:val="none" w:sz="0" w:space="0" w:color="auto"/>
      </w:divBdr>
    </w:div>
    <w:div w:id="1422295008">
      <w:bodyDiv w:val="1"/>
      <w:marLeft w:val="0"/>
      <w:marRight w:val="0"/>
      <w:marTop w:val="0"/>
      <w:marBottom w:val="0"/>
      <w:divBdr>
        <w:top w:val="none" w:sz="0" w:space="0" w:color="auto"/>
        <w:left w:val="none" w:sz="0" w:space="0" w:color="auto"/>
        <w:bottom w:val="none" w:sz="0" w:space="0" w:color="auto"/>
        <w:right w:val="none" w:sz="0" w:space="0" w:color="auto"/>
      </w:divBdr>
    </w:div>
    <w:div w:id="1427652719">
      <w:bodyDiv w:val="1"/>
      <w:marLeft w:val="0"/>
      <w:marRight w:val="0"/>
      <w:marTop w:val="0"/>
      <w:marBottom w:val="0"/>
      <w:divBdr>
        <w:top w:val="none" w:sz="0" w:space="0" w:color="auto"/>
        <w:left w:val="none" w:sz="0" w:space="0" w:color="auto"/>
        <w:bottom w:val="none" w:sz="0" w:space="0" w:color="auto"/>
        <w:right w:val="none" w:sz="0" w:space="0" w:color="auto"/>
      </w:divBdr>
    </w:div>
    <w:div w:id="1433286096">
      <w:bodyDiv w:val="1"/>
      <w:marLeft w:val="0"/>
      <w:marRight w:val="0"/>
      <w:marTop w:val="0"/>
      <w:marBottom w:val="0"/>
      <w:divBdr>
        <w:top w:val="none" w:sz="0" w:space="0" w:color="auto"/>
        <w:left w:val="none" w:sz="0" w:space="0" w:color="auto"/>
        <w:bottom w:val="none" w:sz="0" w:space="0" w:color="auto"/>
        <w:right w:val="none" w:sz="0" w:space="0" w:color="auto"/>
      </w:divBdr>
    </w:div>
    <w:div w:id="1438334887">
      <w:bodyDiv w:val="1"/>
      <w:marLeft w:val="0"/>
      <w:marRight w:val="0"/>
      <w:marTop w:val="0"/>
      <w:marBottom w:val="0"/>
      <w:divBdr>
        <w:top w:val="none" w:sz="0" w:space="0" w:color="auto"/>
        <w:left w:val="none" w:sz="0" w:space="0" w:color="auto"/>
        <w:bottom w:val="none" w:sz="0" w:space="0" w:color="auto"/>
        <w:right w:val="none" w:sz="0" w:space="0" w:color="auto"/>
      </w:divBdr>
    </w:div>
    <w:div w:id="1439645147">
      <w:bodyDiv w:val="1"/>
      <w:marLeft w:val="0"/>
      <w:marRight w:val="0"/>
      <w:marTop w:val="0"/>
      <w:marBottom w:val="0"/>
      <w:divBdr>
        <w:top w:val="none" w:sz="0" w:space="0" w:color="auto"/>
        <w:left w:val="none" w:sz="0" w:space="0" w:color="auto"/>
        <w:bottom w:val="none" w:sz="0" w:space="0" w:color="auto"/>
        <w:right w:val="none" w:sz="0" w:space="0" w:color="auto"/>
      </w:divBdr>
    </w:div>
    <w:div w:id="1441337418">
      <w:bodyDiv w:val="1"/>
      <w:marLeft w:val="0"/>
      <w:marRight w:val="0"/>
      <w:marTop w:val="0"/>
      <w:marBottom w:val="0"/>
      <w:divBdr>
        <w:top w:val="none" w:sz="0" w:space="0" w:color="auto"/>
        <w:left w:val="none" w:sz="0" w:space="0" w:color="auto"/>
        <w:bottom w:val="none" w:sz="0" w:space="0" w:color="auto"/>
        <w:right w:val="none" w:sz="0" w:space="0" w:color="auto"/>
      </w:divBdr>
    </w:div>
    <w:div w:id="1456145465">
      <w:bodyDiv w:val="1"/>
      <w:marLeft w:val="0"/>
      <w:marRight w:val="0"/>
      <w:marTop w:val="0"/>
      <w:marBottom w:val="0"/>
      <w:divBdr>
        <w:top w:val="none" w:sz="0" w:space="0" w:color="auto"/>
        <w:left w:val="none" w:sz="0" w:space="0" w:color="auto"/>
        <w:bottom w:val="none" w:sz="0" w:space="0" w:color="auto"/>
        <w:right w:val="none" w:sz="0" w:space="0" w:color="auto"/>
      </w:divBdr>
    </w:div>
    <w:div w:id="1456828972">
      <w:bodyDiv w:val="1"/>
      <w:marLeft w:val="0"/>
      <w:marRight w:val="0"/>
      <w:marTop w:val="0"/>
      <w:marBottom w:val="0"/>
      <w:divBdr>
        <w:top w:val="none" w:sz="0" w:space="0" w:color="auto"/>
        <w:left w:val="none" w:sz="0" w:space="0" w:color="auto"/>
        <w:bottom w:val="none" w:sz="0" w:space="0" w:color="auto"/>
        <w:right w:val="none" w:sz="0" w:space="0" w:color="auto"/>
      </w:divBdr>
    </w:div>
    <w:div w:id="1459570908">
      <w:bodyDiv w:val="1"/>
      <w:marLeft w:val="0"/>
      <w:marRight w:val="0"/>
      <w:marTop w:val="0"/>
      <w:marBottom w:val="0"/>
      <w:divBdr>
        <w:top w:val="none" w:sz="0" w:space="0" w:color="auto"/>
        <w:left w:val="none" w:sz="0" w:space="0" w:color="auto"/>
        <w:bottom w:val="none" w:sz="0" w:space="0" w:color="auto"/>
        <w:right w:val="none" w:sz="0" w:space="0" w:color="auto"/>
      </w:divBdr>
    </w:div>
    <w:div w:id="1473208957">
      <w:bodyDiv w:val="1"/>
      <w:marLeft w:val="0"/>
      <w:marRight w:val="0"/>
      <w:marTop w:val="0"/>
      <w:marBottom w:val="0"/>
      <w:divBdr>
        <w:top w:val="none" w:sz="0" w:space="0" w:color="auto"/>
        <w:left w:val="none" w:sz="0" w:space="0" w:color="auto"/>
        <w:bottom w:val="none" w:sz="0" w:space="0" w:color="auto"/>
        <w:right w:val="none" w:sz="0" w:space="0" w:color="auto"/>
      </w:divBdr>
    </w:div>
    <w:div w:id="1475608740">
      <w:bodyDiv w:val="1"/>
      <w:marLeft w:val="0"/>
      <w:marRight w:val="0"/>
      <w:marTop w:val="0"/>
      <w:marBottom w:val="0"/>
      <w:divBdr>
        <w:top w:val="none" w:sz="0" w:space="0" w:color="auto"/>
        <w:left w:val="none" w:sz="0" w:space="0" w:color="auto"/>
        <w:bottom w:val="none" w:sz="0" w:space="0" w:color="auto"/>
        <w:right w:val="none" w:sz="0" w:space="0" w:color="auto"/>
      </w:divBdr>
    </w:div>
    <w:div w:id="1477649981">
      <w:bodyDiv w:val="1"/>
      <w:marLeft w:val="0"/>
      <w:marRight w:val="0"/>
      <w:marTop w:val="0"/>
      <w:marBottom w:val="0"/>
      <w:divBdr>
        <w:top w:val="none" w:sz="0" w:space="0" w:color="auto"/>
        <w:left w:val="none" w:sz="0" w:space="0" w:color="auto"/>
        <w:bottom w:val="none" w:sz="0" w:space="0" w:color="auto"/>
        <w:right w:val="none" w:sz="0" w:space="0" w:color="auto"/>
      </w:divBdr>
    </w:div>
    <w:div w:id="1479296698">
      <w:bodyDiv w:val="1"/>
      <w:marLeft w:val="0"/>
      <w:marRight w:val="0"/>
      <w:marTop w:val="0"/>
      <w:marBottom w:val="0"/>
      <w:divBdr>
        <w:top w:val="none" w:sz="0" w:space="0" w:color="auto"/>
        <w:left w:val="none" w:sz="0" w:space="0" w:color="auto"/>
        <w:bottom w:val="none" w:sz="0" w:space="0" w:color="auto"/>
        <w:right w:val="none" w:sz="0" w:space="0" w:color="auto"/>
      </w:divBdr>
    </w:div>
    <w:div w:id="1487353717">
      <w:bodyDiv w:val="1"/>
      <w:marLeft w:val="0"/>
      <w:marRight w:val="0"/>
      <w:marTop w:val="0"/>
      <w:marBottom w:val="0"/>
      <w:divBdr>
        <w:top w:val="none" w:sz="0" w:space="0" w:color="auto"/>
        <w:left w:val="none" w:sz="0" w:space="0" w:color="auto"/>
        <w:bottom w:val="none" w:sz="0" w:space="0" w:color="auto"/>
        <w:right w:val="none" w:sz="0" w:space="0" w:color="auto"/>
      </w:divBdr>
    </w:div>
    <w:div w:id="1494028754">
      <w:bodyDiv w:val="1"/>
      <w:marLeft w:val="0"/>
      <w:marRight w:val="0"/>
      <w:marTop w:val="0"/>
      <w:marBottom w:val="0"/>
      <w:divBdr>
        <w:top w:val="none" w:sz="0" w:space="0" w:color="auto"/>
        <w:left w:val="none" w:sz="0" w:space="0" w:color="auto"/>
        <w:bottom w:val="none" w:sz="0" w:space="0" w:color="auto"/>
        <w:right w:val="none" w:sz="0" w:space="0" w:color="auto"/>
      </w:divBdr>
    </w:div>
    <w:div w:id="1509052358">
      <w:bodyDiv w:val="1"/>
      <w:marLeft w:val="0"/>
      <w:marRight w:val="0"/>
      <w:marTop w:val="0"/>
      <w:marBottom w:val="0"/>
      <w:divBdr>
        <w:top w:val="none" w:sz="0" w:space="0" w:color="auto"/>
        <w:left w:val="none" w:sz="0" w:space="0" w:color="auto"/>
        <w:bottom w:val="none" w:sz="0" w:space="0" w:color="auto"/>
        <w:right w:val="none" w:sz="0" w:space="0" w:color="auto"/>
      </w:divBdr>
    </w:div>
    <w:div w:id="1517886124">
      <w:bodyDiv w:val="1"/>
      <w:marLeft w:val="0"/>
      <w:marRight w:val="0"/>
      <w:marTop w:val="0"/>
      <w:marBottom w:val="0"/>
      <w:divBdr>
        <w:top w:val="none" w:sz="0" w:space="0" w:color="auto"/>
        <w:left w:val="none" w:sz="0" w:space="0" w:color="auto"/>
        <w:bottom w:val="none" w:sz="0" w:space="0" w:color="auto"/>
        <w:right w:val="none" w:sz="0" w:space="0" w:color="auto"/>
      </w:divBdr>
    </w:div>
    <w:div w:id="1533231070">
      <w:bodyDiv w:val="1"/>
      <w:marLeft w:val="0"/>
      <w:marRight w:val="0"/>
      <w:marTop w:val="0"/>
      <w:marBottom w:val="0"/>
      <w:divBdr>
        <w:top w:val="none" w:sz="0" w:space="0" w:color="auto"/>
        <w:left w:val="none" w:sz="0" w:space="0" w:color="auto"/>
        <w:bottom w:val="none" w:sz="0" w:space="0" w:color="auto"/>
        <w:right w:val="none" w:sz="0" w:space="0" w:color="auto"/>
      </w:divBdr>
    </w:div>
    <w:div w:id="1535075982">
      <w:bodyDiv w:val="1"/>
      <w:marLeft w:val="0"/>
      <w:marRight w:val="0"/>
      <w:marTop w:val="0"/>
      <w:marBottom w:val="0"/>
      <w:divBdr>
        <w:top w:val="none" w:sz="0" w:space="0" w:color="auto"/>
        <w:left w:val="none" w:sz="0" w:space="0" w:color="auto"/>
        <w:bottom w:val="none" w:sz="0" w:space="0" w:color="auto"/>
        <w:right w:val="none" w:sz="0" w:space="0" w:color="auto"/>
      </w:divBdr>
    </w:div>
    <w:div w:id="1535577317">
      <w:bodyDiv w:val="1"/>
      <w:marLeft w:val="0"/>
      <w:marRight w:val="0"/>
      <w:marTop w:val="0"/>
      <w:marBottom w:val="0"/>
      <w:divBdr>
        <w:top w:val="none" w:sz="0" w:space="0" w:color="auto"/>
        <w:left w:val="none" w:sz="0" w:space="0" w:color="auto"/>
        <w:bottom w:val="none" w:sz="0" w:space="0" w:color="auto"/>
        <w:right w:val="none" w:sz="0" w:space="0" w:color="auto"/>
      </w:divBdr>
    </w:div>
    <w:div w:id="1539734629">
      <w:bodyDiv w:val="1"/>
      <w:marLeft w:val="0"/>
      <w:marRight w:val="0"/>
      <w:marTop w:val="0"/>
      <w:marBottom w:val="0"/>
      <w:divBdr>
        <w:top w:val="none" w:sz="0" w:space="0" w:color="auto"/>
        <w:left w:val="none" w:sz="0" w:space="0" w:color="auto"/>
        <w:bottom w:val="none" w:sz="0" w:space="0" w:color="auto"/>
        <w:right w:val="none" w:sz="0" w:space="0" w:color="auto"/>
      </w:divBdr>
    </w:div>
    <w:div w:id="1542086831">
      <w:bodyDiv w:val="1"/>
      <w:marLeft w:val="0"/>
      <w:marRight w:val="0"/>
      <w:marTop w:val="0"/>
      <w:marBottom w:val="0"/>
      <w:divBdr>
        <w:top w:val="none" w:sz="0" w:space="0" w:color="auto"/>
        <w:left w:val="none" w:sz="0" w:space="0" w:color="auto"/>
        <w:bottom w:val="none" w:sz="0" w:space="0" w:color="auto"/>
        <w:right w:val="none" w:sz="0" w:space="0" w:color="auto"/>
      </w:divBdr>
    </w:div>
    <w:div w:id="1544055023">
      <w:bodyDiv w:val="1"/>
      <w:marLeft w:val="0"/>
      <w:marRight w:val="0"/>
      <w:marTop w:val="0"/>
      <w:marBottom w:val="0"/>
      <w:divBdr>
        <w:top w:val="none" w:sz="0" w:space="0" w:color="auto"/>
        <w:left w:val="none" w:sz="0" w:space="0" w:color="auto"/>
        <w:bottom w:val="none" w:sz="0" w:space="0" w:color="auto"/>
        <w:right w:val="none" w:sz="0" w:space="0" w:color="auto"/>
      </w:divBdr>
    </w:div>
    <w:div w:id="1544363842">
      <w:bodyDiv w:val="1"/>
      <w:marLeft w:val="0"/>
      <w:marRight w:val="0"/>
      <w:marTop w:val="0"/>
      <w:marBottom w:val="0"/>
      <w:divBdr>
        <w:top w:val="none" w:sz="0" w:space="0" w:color="auto"/>
        <w:left w:val="none" w:sz="0" w:space="0" w:color="auto"/>
        <w:bottom w:val="none" w:sz="0" w:space="0" w:color="auto"/>
        <w:right w:val="none" w:sz="0" w:space="0" w:color="auto"/>
      </w:divBdr>
    </w:div>
    <w:div w:id="1544898816">
      <w:bodyDiv w:val="1"/>
      <w:marLeft w:val="0"/>
      <w:marRight w:val="0"/>
      <w:marTop w:val="0"/>
      <w:marBottom w:val="0"/>
      <w:divBdr>
        <w:top w:val="none" w:sz="0" w:space="0" w:color="auto"/>
        <w:left w:val="none" w:sz="0" w:space="0" w:color="auto"/>
        <w:bottom w:val="none" w:sz="0" w:space="0" w:color="auto"/>
        <w:right w:val="none" w:sz="0" w:space="0" w:color="auto"/>
      </w:divBdr>
    </w:div>
    <w:div w:id="1545484490">
      <w:bodyDiv w:val="1"/>
      <w:marLeft w:val="0"/>
      <w:marRight w:val="0"/>
      <w:marTop w:val="0"/>
      <w:marBottom w:val="0"/>
      <w:divBdr>
        <w:top w:val="none" w:sz="0" w:space="0" w:color="auto"/>
        <w:left w:val="none" w:sz="0" w:space="0" w:color="auto"/>
        <w:bottom w:val="none" w:sz="0" w:space="0" w:color="auto"/>
        <w:right w:val="none" w:sz="0" w:space="0" w:color="auto"/>
      </w:divBdr>
    </w:div>
    <w:div w:id="1547986626">
      <w:bodyDiv w:val="1"/>
      <w:marLeft w:val="0"/>
      <w:marRight w:val="0"/>
      <w:marTop w:val="0"/>
      <w:marBottom w:val="0"/>
      <w:divBdr>
        <w:top w:val="none" w:sz="0" w:space="0" w:color="auto"/>
        <w:left w:val="none" w:sz="0" w:space="0" w:color="auto"/>
        <w:bottom w:val="none" w:sz="0" w:space="0" w:color="auto"/>
        <w:right w:val="none" w:sz="0" w:space="0" w:color="auto"/>
      </w:divBdr>
    </w:div>
    <w:div w:id="1548713598">
      <w:bodyDiv w:val="1"/>
      <w:marLeft w:val="0"/>
      <w:marRight w:val="0"/>
      <w:marTop w:val="0"/>
      <w:marBottom w:val="0"/>
      <w:divBdr>
        <w:top w:val="none" w:sz="0" w:space="0" w:color="auto"/>
        <w:left w:val="none" w:sz="0" w:space="0" w:color="auto"/>
        <w:bottom w:val="none" w:sz="0" w:space="0" w:color="auto"/>
        <w:right w:val="none" w:sz="0" w:space="0" w:color="auto"/>
      </w:divBdr>
    </w:div>
    <w:div w:id="1550143842">
      <w:bodyDiv w:val="1"/>
      <w:marLeft w:val="0"/>
      <w:marRight w:val="0"/>
      <w:marTop w:val="0"/>
      <w:marBottom w:val="0"/>
      <w:divBdr>
        <w:top w:val="none" w:sz="0" w:space="0" w:color="auto"/>
        <w:left w:val="none" w:sz="0" w:space="0" w:color="auto"/>
        <w:bottom w:val="none" w:sz="0" w:space="0" w:color="auto"/>
        <w:right w:val="none" w:sz="0" w:space="0" w:color="auto"/>
      </w:divBdr>
    </w:div>
    <w:div w:id="1550341210">
      <w:bodyDiv w:val="1"/>
      <w:marLeft w:val="0"/>
      <w:marRight w:val="0"/>
      <w:marTop w:val="0"/>
      <w:marBottom w:val="0"/>
      <w:divBdr>
        <w:top w:val="none" w:sz="0" w:space="0" w:color="auto"/>
        <w:left w:val="none" w:sz="0" w:space="0" w:color="auto"/>
        <w:bottom w:val="none" w:sz="0" w:space="0" w:color="auto"/>
        <w:right w:val="none" w:sz="0" w:space="0" w:color="auto"/>
      </w:divBdr>
    </w:div>
    <w:div w:id="1550727085">
      <w:bodyDiv w:val="1"/>
      <w:marLeft w:val="0"/>
      <w:marRight w:val="0"/>
      <w:marTop w:val="0"/>
      <w:marBottom w:val="0"/>
      <w:divBdr>
        <w:top w:val="none" w:sz="0" w:space="0" w:color="auto"/>
        <w:left w:val="none" w:sz="0" w:space="0" w:color="auto"/>
        <w:bottom w:val="none" w:sz="0" w:space="0" w:color="auto"/>
        <w:right w:val="none" w:sz="0" w:space="0" w:color="auto"/>
      </w:divBdr>
    </w:div>
    <w:div w:id="1551263143">
      <w:bodyDiv w:val="1"/>
      <w:marLeft w:val="0"/>
      <w:marRight w:val="0"/>
      <w:marTop w:val="0"/>
      <w:marBottom w:val="0"/>
      <w:divBdr>
        <w:top w:val="none" w:sz="0" w:space="0" w:color="auto"/>
        <w:left w:val="none" w:sz="0" w:space="0" w:color="auto"/>
        <w:bottom w:val="none" w:sz="0" w:space="0" w:color="auto"/>
        <w:right w:val="none" w:sz="0" w:space="0" w:color="auto"/>
      </w:divBdr>
    </w:div>
    <w:div w:id="1553074248">
      <w:bodyDiv w:val="1"/>
      <w:marLeft w:val="0"/>
      <w:marRight w:val="0"/>
      <w:marTop w:val="0"/>
      <w:marBottom w:val="0"/>
      <w:divBdr>
        <w:top w:val="none" w:sz="0" w:space="0" w:color="auto"/>
        <w:left w:val="none" w:sz="0" w:space="0" w:color="auto"/>
        <w:bottom w:val="none" w:sz="0" w:space="0" w:color="auto"/>
        <w:right w:val="none" w:sz="0" w:space="0" w:color="auto"/>
      </w:divBdr>
    </w:div>
    <w:div w:id="1572696095">
      <w:bodyDiv w:val="1"/>
      <w:marLeft w:val="0"/>
      <w:marRight w:val="0"/>
      <w:marTop w:val="0"/>
      <w:marBottom w:val="0"/>
      <w:divBdr>
        <w:top w:val="none" w:sz="0" w:space="0" w:color="auto"/>
        <w:left w:val="none" w:sz="0" w:space="0" w:color="auto"/>
        <w:bottom w:val="none" w:sz="0" w:space="0" w:color="auto"/>
        <w:right w:val="none" w:sz="0" w:space="0" w:color="auto"/>
      </w:divBdr>
    </w:div>
    <w:div w:id="1577670026">
      <w:bodyDiv w:val="1"/>
      <w:marLeft w:val="0"/>
      <w:marRight w:val="0"/>
      <w:marTop w:val="0"/>
      <w:marBottom w:val="0"/>
      <w:divBdr>
        <w:top w:val="none" w:sz="0" w:space="0" w:color="auto"/>
        <w:left w:val="none" w:sz="0" w:space="0" w:color="auto"/>
        <w:bottom w:val="none" w:sz="0" w:space="0" w:color="auto"/>
        <w:right w:val="none" w:sz="0" w:space="0" w:color="auto"/>
      </w:divBdr>
    </w:div>
    <w:div w:id="1605773059">
      <w:bodyDiv w:val="1"/>
      <w:marLeft w:val="0"/>
      <w:marRight w:val="0"/>
      <w:marTop w:val="0"/>
      <w:marBottom w:val="0"/>
      <w:divBdr>
        <w:top w:val="none" w:sz="0" w:space="0" w:color="auto"/>
        <w:left w:val="none" w:sz="0" w:space="0" w:color="auto"/>
        <w:bottom w:val="none" w:sz="0" w:space="0" w:color="auto"/>
        <w:right w:val="none" w:sz="0" w:space="0" w:color="auto"/>
      </w:divBdr>
    </w:div>
    <w:div w:id="1607729281">
      <w:bodyDiv w:val="1"/>
      <w:marLeft w:val="0"/>
      <w:marRight w:val="0"/>
      <w:marTop w:val="0"/>
      <w:marBottom w:val="0"/>
      <w:divBdr>
        <w:top w:val="none" w:sz="0" w:space="0" w:color="auto"/>
        <w:left w:val="none" w:sz="0" w:space="0" w:color="auto"/>
        <w:bottom w:val="none" w:sz="0" w:space="0" w:color="auto"/>
        <w:right w:val="none" w:sz="0" w:space="0" w:color="auto"/>
      </w:divBdr>
    </w:div>
    <w:div w:id="1609048608">
      <w:bodyDiv w:val="1"/>
      <w:marLeft w:val="0"/>
      <w:marRight w:val="0"/>
      <w:marTop w:val="0"/>
      <w:marBottom w:val="0"/>
      <w:divBdr>
        <w:top w:val="none" w:sz="0" w:space="0" w:color="auto"/>
        <w:left w:val="none" w:sz="0" w:space="0" w:color="auto"/>
        <w:bottom w:val="none" w:sz="0" w:space="0" w:color="auto"/>
        <w:right w:val="none" w:sz="0" w:space="0" w:color="auto"/>
      </w:divBdr>
    </w:div>
    <w:div w:id="1612055241">
      <w:bodyDiv w:val="1"/>
      <w:marLeft w:val="0"/>
      <w:marRight w:val="0"/>
      <w:marTop w:val="0"/>
      <w:marBottom w:val="0"/>
      <w:divBdr>
        <w:top w:val="none" w:sz="0" w:space="0" w:color="auto"/>
        <w:left w:val="none" w:sz="0" w:space="0" w:color="auto"/>
        <w:bottom w:val="none" w:sz="0" w:space="0" w:color="auto"/>
        <w:right w:val="none" w:sz="0" w:space="0" w:color="auto"/>
      </w:divBdr>
    </w:div>
    <w:div w:id="1613245263">
      <w:bodyDiv w:val="1"/>
      <w:marLeft w:val="0"/>
      <w:marRight w:val="0"/>
      <w:marTop w:val="0"/>
      <w:marBottom w:val="0"/>
      <w:divBdr>
        <w:top w:val="none" w:sz="0" w:space="0" w:color="auto"/>
        <w:left w:val="none" w:sz="0" w:space="0" w:color="auto"/>
        <w:bottom w:val="none" w:sz="0" w:space="0" w:color="auto"/>
        <w:right w:val="none" w:sz="0" w:space="0" w:color="auto"/>
      </w:divBdr>
    </w:div>
    <w:div w:id="1613702543">
      <w:bodyDiv w:val="1"/>
      <w:marLeft w:val="0"/>
      <w:marRight w:val="0"/>
      <w:marTop w:val="0"/>
      <w:marBottom w:val="0"/>
      <w:divBdr>
        <w:top w:val="none" w:sz="0" w:space="0" w:color="auto"/>
        <w:left w:val="none" w:sz="0" w:space="0" w:color="auto"/>
        <w:bottom w:val="none" w:sz="0" w:space="0" w:color="auto"/>
        <w:right w:val="none" w:sz="0" w:space="0" w:color="auto"/>
      </w:divBdr>
    </w:div>
    <w:div w:id="1621763226">
      <w:bodyDiv w:val="1"/>
      <w:marLeft w:val="0"/>
      <w:marRight w:val="0"/>
      <w:marTop w:val="0"/>
      <w:marBottom w:val="0"/>
      <w:divBdr>
        <w:top w:val="none" w:sz="0" w:space="0" w:color="auto"/>
        <w:left w:val="none" w:sz="0" w:space="0" w:color="auto"/>
        <w:bottom w:val="none" w:sz="0" w:space="0" w:color="auto"/>
        <w:right w:val="none" w:sz="0" w:space="0" w:color="auto"/>
      </w:divBdr>
    </w:div>
    <w:div w:id="1636132504">
      <w:bodyDiv w:val="1"/>
      <w:marLeft w:val="0"/>
      <w:marRight w:val="0"/>
      <w:marTop w:val="0"/>
      <w:marBottom w:val="0"/>
      <w:divBdr>
        <w:top w:val="none" w:sz="0" w:space="0" w:color="auto"/>
        <w:left w:val="none" w:sz="0" w:space="0" w:color="auto"/>
        <w:bottom w:val="none" w:sz="0" w:space="0" w:color="auto"/>
        <w:right w:val="none" w:sz="0" w:space="0" w:color="auto"/>
      </w:divBdr>
    </w:div>
    <w:div w:id="1637447451">
      <w:bodyDiv w:val="1"/>
      <w:marLeft w:val="0"/>
      <w:marRight w:val="0"/>
      <w:marTop w:val="0"/>
      <w:marBottom w:val="0"/>
      <w:divBdr>
        <w:top w:val="none" w:sz="0" w:space="0" w:color="auto"/>
        <w:left w:val="none" w:sz="0" w:space="0" w:color="auto"/>
        <w:bottom w:val="none" w:sz="0" w:space="0" w:color="auto"/>
        <w:right w:val="none" w:sz="0" w:space="0" w:color="auto"/>
      </w:divBdr>
    </w:div>
    <w:div w:id="1639603486">
      <w:bodyDiv w:val="1"/>
      <w:marLeft w:val="0"/>
      <w:marRight w:val="0"/>
      <w:marTop w:val="0"/>
      <w:marBottom w:val="0"/>
      <w:divBdr>
        <w:top w:val="none" w:sz="0" w:space="0" w:color="auto"/>
        <w:left w:val="none" w:sz="0" w:space="0" w:color="auto"/>
        <w:bottom w:val="none" w:sz="0" w:space="0" w:color="auto"/>
        <w:right w:val="none" w:sz="0" w:space="0" w:color="auto"/>
      </w:divBdr>
    </w:div>
    <w:div w:id="1639802705">
      <w:bodyDiv w:val="1"/>
      <w:marLeft w:val="0"/>
      <w:marRight w:val="0"/>
      <w:marTop w:val="0"/>
      <w:marBottom w:val="0"/>
      <w:divBdr>
        <w:top w:val="none" w:sz="0" w:space="0" w:color="auto"/>
        <w:left w:val="none" w:sz="0" w:space="0" w:color="auto"/>
        <w:bottom w:val="none" w:sz="0" w:space="0" w:color="auto"/>
        <w:right w:val="none" w:sz="0" w:space="0" w:color="auto"/>
      </w:divBdr>
    </w:div>
    <w:div w:id="1645888404">
      <w:bodyDiv w:val="1"/>
      <w:marLeft w:val="0"/>
      <w:marRight w:val="0"/>
      <w:marTop w:val="0"/>
      <w:marBottom w:val="0"/>
      <w:divBdr>
        <w:top w:val="none" w:sz="0" w:space="0" w:color="auto"/>
        <w:left w:val="none" w:sz="0" w:space="0" w:color="auto"/>
        <w:bottom w:val="none" w:sz="0" w:space="0" w:color="auto"/>
        <w:right w:val="none" w:sz="0" w:space="0" w:color="auto"/>
      </w:divBdr>
    </w:div>
    <w:div w:id="1648048076">
      <w:bodyDiv w:val="1"/>
      <w:marLeft w:val="0"/>
      <w:marRight w:val="0"/>
      <w:marTop w:val="0"/>
      <w:marBottom w:val="0"/>
      <w:divBdr>
        <w:top w:val="none" w:sz="0" w:space="0" w:color="auto"/>
        <w:left w:val="none" w:sz="0" w:space="0" w:color="auto"/>
        <w:bottom w:val="none" w:sz="0" w:space="0" w:color="auto"/>
        <w:right w:val="none" w:sz="0" w:space="0" w:color="auto"/>
      </w:divBdr>
    </w:div>
    <w:div w:id="1665543864">
      <w:bodyDiv w:val="1"/>
      <w:marLeft w:val="0"/>
      <w:marRight w:val="0"/>
      <w:marTop w:val="0"/>
      <w:marBottom w:val="0"/>
      <w:divBdr>
        <w:top w:val="none" w:sz="0" w:space="0" w:color="auto"/>
        <w:left w:val="none" w:sz="0" w:space="0" w:color="auto"/>
        <w:bottom w:val="none" w:sz="0" w:space="0" w:color="auto"/>
        <w:right w:val="none" w:sz="0" w:space="0" w:color="auto"/>
      </w:divBdr>
    </w:div>
    <w:div w:id="1666199557">
      <w:bodyDiv w:val="1"/>
      <w:marLeft w:val="0"/>
      <w:marRight w:val="0"/>
      <w:marTop w:val="0"/>
      <w:marBottom w:val="0"/>
      <w:divBdr>
        <w:top w:val="none" w:sz="0" w:space="0" w:color="auto"/>
        <w:left w:val="none" w:sz="0" w:space="0" w:color="auto"/>
        <w:bottom w:val="none" w:sz="0" w:space="0" w:color="auto"/>
        <w:right w:val="none" w:sz="0" w:space="0" w:color="auto"/>
      </w:divBdr>
    </w:div>
    <w:div w:id="1670937751">
      <w:bodyDiv w:val="1"/>
      <w:marLeft w:val="0"/>
      <w:marRight w:val="0"/>
      <w:marTop w:val="0"/>
      <w:marBottom w:val="0"/>
      <w:divBdr>
        <w:top w:val="none" w:sz="0" w:space="0" w:color="auto"/>
        <w:left w:val="none" w:sz="0" w:space="0" w:color="auto"/>
        <w:bottom w:val="none" w:sz="0" w:space="0" w:color="auto"/>
        <w:right w:val="none" w:sz="0" w:space="0" w:color="auto"/>
      </w:divBdr>
    </w:div>
    <w:div w:id="1676301442">
      <w:bodyDiv w:val="1"/>
      <w:marLeft w:val="0"/>
      <w:marRight w:val="0"/>
      <w:marTop w:val="0"/>
      <w:marBottom w:val="0"/>
      <w:divBdr>
        <w:top w:val="none" w:sz="0" w:space="0" w:color="auto"/>
        <w:left w:val="none" w:sz="0" w:space="0" w:color="auto"/>
        <w:bottom w:val="none" w:sz="0" w:space="0" w:color="auto"/>
        <w:right w:val="none" w:sz="0" w:space="0" w:color="auto"/>
      </w:divBdr>
    </w:div>
    <w:div w:id="1677609497">
      <w:bodyDiv w:val="1"/>
      <w:marLeft w:val="0"/>
      <w:marRight w:val="0"/>
      <w:marTop w:val="0"/>
      <w:marBottom w:val="0"/>
      <w:divBdr>
        <w:top w:val="none" w:sz="0" w:space="0" w:color="auto"/>
        <w:left w:val="none" w:sz="0" w:space="0" w:color="auto"/>
        <w:bottom w:val="none" w:sz="0" w:space="0" w:color="auto"/>
        <w:right w:val="none" w:sz="0" w:space="0" w:color="auto"/>
      </w:divBdr>
    </w:div>
    <w:div w:id="1683168766">
      <w:bodyDiv w:val="1"/>
      <w:marLeft w:val="0"/>
      <w:marRight w:val="0"/>
      <w:marTop w:val="0"/>
      <w:marBottom w:val="0"/>
      <w:divBdr>
        <w:top w:val="none" w:sz="0" w:space="0" w:color="auto"/>
        <w:left w:val="none" w:sz="0" w:space="0" w:color="auto"/>
        <w:bottom w:val="none" w:sz="0" w:space="0" w:color="auto"/>
        <w:right w:val="none" w:sz="0" w:space="0" w:color="auto"/>
      </w:divBdr>
    </w:div>
    <w:div w:id="1693678068">
      <w:bodyDiv w:val="1"/>
      <w:marLeft w:val="0"/>
      <w:marRight w:val="0"/>
      <w:marTop w:val="0"/>
      <w:marBottom w:val="0"/>
      <w:divBdr>
        <w:top w:val="none" w:sz="0" w:space="0" w:color="auto"/>
        <w:left w:val="none" w:sz="0" w:space="0" w:color="auto"/>
        <w:bottom w:val="none" w:sz="0" w:space="0" w:color="auto"/>
        <w:right w:val="none" w:sz="0" w:space="0" w:color="auto"/>
      </w:divBdr>
    </w:div>
    <w:div w:id="1698313008">
      <w:bodyDiv w:val="1"/>
      <w:marLeft w:val="0"/>
      <w:marRight w:val="0"/>
      <w:marTop w:val="0"/>
      <w:marBottom w:val="0"/>
      <w:divBdr>
        <w:top w:val="none" w:sz="0" w:space="0" w:color="auto"/>
        <w:left w:val="none" w:sz="0" w:space="0" w:color="auto"/>
        <w:bottom w:val="none" w:sz="0" w:space="0" w:color="auto"/>
        <w:right w:val="none" w:sz="0" w:space="0" w:color="auto"/>
      </w:divBdr>
    </w:div>
    <w:div w:id="1700810869">
      <w:bodyDiv w:val="1"/>
      <w:marLeft w:val="0"/>
      <w:marRight w:val="0"/>
      <w:marTop w:val="0"/>
      <w:marBottom w:val="0"/>
      <w:divBdr>
        <w:top w:val="none" w:sz="0" w:space="0" w:color="auto"/>
        <w:left w:val="none" w:sz="0" w:space="0" w:color="auto"/>
        <w:bottom w:val="none" w:sz="0" w:space="0" w:color="auto"/>
        <w:right w:val="none" w:sz="0" w:space="0" w:color="auto"/>
      </w:divBdr>
    </w:div>
    <w:div w:id="1704743828">
      <w:bodyDiv w:val="1"/>
      <w:marLeft w:val="0"/>
      <w:marRight w:val="0"/>
      <w:marTop w:val="0"/>
      <w:marBottom w:val="0"/>
      <w:divBdr>
        <w:top w:val="none" w:sz="0" w:space="0" w:color="auto"/>
        <w:left w:val="none" w:sz="0" w:space="0" w:color="auto"/>
        <w:bottom w:val="none" w:sz="0" w:space="0" w:color="auto"/>
        <w:right w:val="none" w:sz="0" w:space="0" w:color="auto"/>
      </w:divBdr>
    </w:div>
    <w:div w:id="1706562053">
      <w:bodyDiv w:val="1"/>
      <w:marLeft w:val="0"/>
      <w:marRight w:val="0"/>
      <w:marTop w:val="0"/>
      <w:marBottom w:val="0"/>
      <w:divBdr>
        <w:top w:val="none" w:sz="0" w:space="0" w:color="auto"/>
        <w:left w:val="none" w:sz="0" w:space="0" w:color="auto"/>
        <w:bottom w:val="none" w:sz="0" w:space="0" w:color="auto"/>
        <w:right w:val="none" w:sz="0" w:space="0" w:color="auto"/>
      </w:divBdr>
    </w:div>
    <w:div w:id="1711999231">
      <w:bodyDiv w:val="1"/>
      <w:marLeft w:val="0"/>
      <w:marRight w:val="0"/>
      <w:marTop w:val="0"/>
      <w:marBottom w:val="0"/>
      <w:divBdr>
        <w:top w:val="none" w:sz="0" w:space="0" w:color="auto"/>
        <w:left w:val="none" w:sz="0" w:space="0" w:color="auto"/>
        <w:bottom w:val="none" w:sz="0" w:space="0" w:color="auto"/>
        <w:right w:val="none" w:sz="0" w:space="0" w:color="auto"/>
      </w:divBdr>
    </w:div>
    <w:div w:id="1722435496">
      <w:bodyDiv w:val="1"/>
      <w:marLeft w:val="0"/>
      <w:marRight w:val="0"/>
      <w:marTop w:val="0"/>
      <w:marBottom w:val="0"/>
      <w:divBdr>
        <w:top w:val="none" w:sz="0" w:space="0" w:color="auto"/>
        <w:left w:val="none" w:sz="0" w:space="0" w:color="auto"/>
        <w:bottom w:val="none" w:sz="0" w:space="0" w:color="auto"/>
        <w:right w:val="none" w:sz="0" w:space="0" w:color="auto"/>
      </w:divBdr>
    </w:div>
    <w:div w:id="1722901453">
      <w:bodyDiv w:val="1"/>
      <w:marLeft w:val="0"/>
      <w:marRight w:val="0"/>
      <w:marTop w:val="0"/>
      <w:marBottom w:val="0"/>
      <w:divBdr>
        <w:top w:val="none" w:sz="0" w:space="0" w:color="auto"/>
        <w:left w:val="none" w:sz="0" w:space="0" w:color="auto"/>
        <w:bottom w:val="none" w:sz="0" w:space="0" w:color="auto"/>
        <w:right w:val="none" w:sz="0" w:space="0" w:color="auto"/>
      </w:divBdr>
    </w:div>
    <w:div w:id="1723092857">
      <w:bodyDiv w:val="1"/>
      <w:marLeft w:val="0"/>
      <w:marRight w:val="0"/>
      <w:marTop w:val="0"/>
      <w:marBottom w:val="0"/>
      <w:divBdr>
        <w:top w:val="none" w:sz="0" w:space="0" w:color="auto"/>
        <w:left w:val="none" w:sz="0" w:space="0" w:color="auto"/>
        <w:bottom w:val="none" w:sz="0" w:space="0" w:color="auto"/>
        <w:right w:val="none" w:sz="0" w:space="0" w:color="auto"/>
      </w:divBdr>
    </w:div>
    <w:div w:id="1724058683">
      <w:bodyDiv w:val="1"/>
      <w:marLeft w:val="0"/>
      <w:marRight w:val="0"/>
      <w:marTop w:val="0"/>
      <w:marBottom w:val="0"/>
      <w:divBdr>
        <w:top w:val="none" w:sz="0" w:space="0" w:color="auto"/>
        <w:left w:val="none" w:sz="0" w:space="0" w:color="auto"/>
        <w:bottom w:val="none" w:sz="0" w:space="0" w:color="auto"/>
        <w:right w:val="none" w:sz="0" w:space="0" w:color="auto"/>
      </w:divBdr>
    </w:div>
    <w:div w:id="1733384488">
      <w:bodyDiv w:val="1"/>
      <w:marLeft w:val="0"/>
      <w:marRight w:val="0"/>
      <w:marTop w:val="0"/>
      <w:marBottom w:val="0"/>
      <w:divBdr>
        <w:top w:val="none" w:sz="0" w:space="0" w:color="auto"/>
        <w:left w:val="none" w:sz="0" w:space="0" w:color="auto"/>
        <w:bottom w:val="none" w:sz="0" w:space="0" w:color="auto"/>
        <w:right w:val="none" w:sz="0" w:space="0" w:color="auto"/>
      </w:divBdr>
    </w:div>
    <w:div w:id="1735153437">
      <w:bodyDiv w:val="1"/>
      <w:marLeft w:val="0"/>
      <w:marRight w:val="0"/>
      <w:marTop w:val="0"/>
      <w:marBottom w:val="0"/>
      <w:divBdr>
        <w:top w:val="none" w:sz="0" w:space="0" w:color="auto"/>
        <w:left w:val="none" w:sz="0" w:space="0" w:color="auto"/>
        <w:bottom w:val="none" w:sz="0" w:space="0" w:color="auto"/>
        <w:right w:val="none" w:sz="0" w:space="0" w:color="auto"/>
      </w:divBdr>
    </w:div>
    <w:div w:id="1742750127">
      <w:bodyDiv w:val="1"/>
      <w:marLeft w:val="0"/>
      <w:marRight w:val="0"/>
      <w:marTop w:val="0"/>
      <w:marBottom w:val="0"/>
      <w:divBdr>
        <w:top w:val="none" w:sz="0" w:space="0" w:color="auto"/>
        <w:left w:val="none" w:sz="0" w:space="0" w:color="auto"/>
        <w:bottom w:val="none" w:sz="0" w:space="0" w:color="auto"/>
        <w:right w:val="none" w:sz="0" w:space="0" w:color="auto"/>
      </w:divBdr>
    </w:div>
    <w:div w:id="1747264750">
      <w:bodyDiv w:val="1"/>
      <w:marLeft w:val="0"/>
      <w:marRight w:val="0"/>
      <w:marTop w:val="0"/>
      <w:marBottom w:val="0"/>
      <w:divBdr>
        <w:top w:val="none" w:sz="0" w:space="0" w:color="auto"/>
        <w:left w:val="none" w:sz="0" w:space="0" w:color="auto"/>
        <w:bottom w:val="none" w:sz="0" w:space="0" w:color="auto"/>
        <w:right w:val="none" w:sz="0" w:space="0" w:color="auto"/>
      </w:divBdr>
    </w:div>
    <w:div w:id="1753968164">
      <w:bodyDiv w:val="1"/>
      <w:marLeft w:val="0"/>
      <w:marRight w:val="0"/>
      <w:marTop w:val="0"/>
      <w:marBottom w:val="0"/>
      <w:divBdr>
        <w:top w:val="none" w:sz="0" w:space="0" w:color="auto"/>
        <w:left w:val="none" w:sz="0" w:space="0" w:color="auto"/>
        <w:bottom w:val="none" w:sz="0" w:space="0" w:color="auto"/>
        <w:right w:val="none" w:sz="0" w:space="0" w:color="auto"/>
      </w:divBdr>
    </w:div>
    <w:div w:id="1757745087">
      <w:bodyDiv w:val="1"/>
      <w:marLeft w:val="0"/>
      <w:marRight w:val="0"/>
      <w:marTop w:val="0"/>
      <w:marBottom w:val="0"/>
      <w:divBdr>
        <w:top w:val="none" w:sz="0" w:space="0" w:color="auto"/>
        <w:left w:val="none" w:sz="0" w:space="0" w:color="auto"/>
        <w:bottom w:val="none" w:sz="0" w:space="0" w:color="auto"/>
        <w:right w:val="none" w:sz="0" w:space="0" w:color="auto"/>
      </w:divBdr>
    </w:div>
    <w:div w:id="1757822770">
      <w:bodyDiv w:val="1"/>
      <w:marLeft w:val="0"/>
      <w:marRight w:val="0"/>
      <w:marTop w:val="0"/>
      <w:marBottom w:val="0"/>
      <w:divBdr>
        <w:top w:val="none" w:sz="0" w:space="0" w:color="auto"/>
        <w:left w:val="none" w:sz="0" w:space="0" w:color="auto"/>
        <w:bottom w:val="none" w:sz="0" w:space="0" w:color="auto"/>
        <w:right w:val="none" w:sz="0" w:space="0" w:color="auto"/>
      </w:divBdr>
    </w:div>
    <w:div w:id="1763338888">
      <w:bodyDiv w:val="1"/>
      <w:marLeft w:val="0"/>
      <w:marRight w:val="0"/>
      <w:marTop w:val="0"/>
      <w:marBottom w:val="0"/>
      <w:divBdr>
        <w:top w:val="none" w:sz="0" w:space="0" w:color="auto"/>
        <w:left w:val="none" w:sz="0" w:space="0" w:color="auto"/>
        <w:bottom w:val="none" w:sz="0" w:space="0" w:color="auto"/>
        <w:right w:val="none" w:sz="0" w:space="0" w:color="auto"/>
      </w:divBdr>
    </w:div>
    <w:div w:id="1763451346">
      <w:bodyDiv w:val="1"/>
      <w:marLeft w:val="0"/>
      <w:marRight w:val="0"/>
      <w:marTop w:val="0"/>
      <w:marBottom w:val="0"/>
      <w:divBdr>
        <w:top w:val="none" w:sz="0" w:space="0" w:color="auto"/>
        <w:left w:val="none" w:sz="0" w:space="0" w:color="auto"/>
        <w:bottom w:val="none" w:sz="0" w:space="0" w:color="auto"/>
        <w:right w:val="none" w:sz="0" w:space="0" w:color="auto"/>
      </w:divBdr>
    </w:div>
    <w:div w:id="1777169966">
      <w:bodyDiv w:val="1"/>
      <w:marLeft w:val="0"/>
      <w:marRight w:val="0"/>
      <w:marTop w:val="0"/>
      <w:marBottom w:val="0"/>
      <w:divBdr>
        <w:top w:val="none" w:sz="0" w:space="0" w:color="auto"/>
        <w:left w:val="none" w:sz="0" w:space="0" w:color="auto"/>
        <w:bottom w:val="none" w:sz="0" w:space="0" w:color="auto"/>
        <w:right w:val="none" w:sz="0" w:space="0" w:color="auto"/>
      </w:divBdr>
    </w:div>
    <w:div w:id="1777480691">
      <w:bodyDiv w:val="1"/>
      <w:marLeft w:val="0"/>
      <w:marRight w:val="0"/>
      <w:marTop w:val="0"/>
      <w:marBottom w:val="0"/>
      <w:divBdr>
        <w:top w:val="none" w:sz="0" w:space="0" w:color="auto"/>
        <w:left w:val="none" w:sz="0" w:space="0" w:color="auto"/>
        <w:bottom w:val="none" w:sz="0" w:space="0" w:color="auto"/>
        <w:right w:val="none" w:sz="0" w:space="0" w:color="auto"/>
      </w:divBdr>
    </w:div>
    <w:div w:id="1782457212">
      <w:bodyDiv w:val="1"/>
      <w:marLeft w:val="0"/>
      <w:marRight w:val="0"/>
      <w:marTop w:val="0"/>
      <w:marBottom w:val="0"/>
      <w:divBdr>
        <w:top w:val="none" w:sz="0" w:space="0" w:color="auto"/>
        <w:left w:val="none" w:sz="0" w:space="0" w:color="auto"/>
        <w:bottom w:val="none" w:sz="0" w:space="0" w:color="auto"/>
        <w:right w:val="none" w:sz="0" w:space="0" w:color="auto"/>
      </w:divBdr>
    </w:div>
    <w:div w:id="1786777489">
      <w:bodyDiv w:val="1"/>
      <w:marLeft w:val="0"/>
      <w:marRight w:val="0"/>
      <w:marTop w:val="0"/>
      <w:marBottom w:val="0"/>
      <w:divBdr>
        <w:top w:val="none" w:sz="0" w:space="0" w:color="auto"/>
        <w:left w:val="none" w:sz="0" w:space="0" w:color="auto"/>
        <w:bottom w:val="none" w:sz="0" w:space="0" w:color="auto"/>
        <w:right w:val="none" w:sz="0" w:space="0" w:color="auto"/>
      </w:divBdr>
    </w:div>
    <w:div w:id="1787919311">
      <w:bodyDiv w:val="1"/>
      <w:marLeft w:val="0"/>
      <w:marRight w:val="0"/>
      <w:marTop w:val="0"/>
      <w:marBottom w:val="0"/>
      <w:divBdr>
        <w:top w:val="none" w:sz="0" w:space="0" w:color="auto"/>
        <w:left w:val="none" w:sz="0" w:space="0" w:color="auto"/>
        <w:bottom w:val="none" w:sz="0" w:space="0" w:color="auto"/>
        <w:right w:val="none" w:sz="0" w:space="0" w:color="auto"/>
      </w:divBdr>
    </w:div>
    <w:div w:id="1792087317">
      <w:bodyDiv w:val="1"/>
      <w:marLeft w:val="0"/>
      <w:marRight w:val="0"/>
      <w:marTop w:val="0"/>
      <w:marBottom w:val="0"/>
      <w:divBdr>
        <w:top w:val="none" w:sz="0" w:space="0" w:color="auto"/>
        <w:left w:val="none" w:sz="0" w:space="0" w:color="auto"/>
        <w:bottom w:val="none" w:sz="0" w:space="0" w:color="auto"/>
        <w:right w:val="none" w:sz="0" w:space="0" w:color="auto"/>
      </w:divBdr>
    </w:div>
    <w:div w:id="1794522715">
      <w:bodyDiv w:val="1"/>
      <w:marLeft w:val="0"/>
      <w:marRight w:val="0"/>
      <w:marTop w:val="0"/>
      <w:marBottom w:val="0"/>
      <w:divBdr>
        <w:top w:val="none" w:sz="0" w:space="0" w:color="auto"/>
        <w:left w:val="none" w:sz="0" w:space="0" w:color="auto"/>
        <w:bottom w:val="none" w:sz="0" w:space="0" w:color="auto"/>
        <w:right w:val="none" w:sz="0" w:space="0" w:color="auto"/>
      </w:divBdr>
    </w:div>
    <w:div w:id="1807160574">
      <w:bodyDiv w:val="1"/>
      <w:marLeft w:val="0"/>
      <w:marRight w:val="0"/>
      <w:marTop w:val="0"/>
      <w:marBottom w:val="0"/>
      <w:divBdr>
        <w:top w:val="none" w:sz="0" w:space="0" w:color="auto"/>
        <w:left w:val="none" w:sz="0" w:space="0" w:color="auto"/>
        <w:bottom w:val="none" w:sz="0" w:space="0" w:color="auto"/>
        <w:right w:val="none" w:sz="0" w:space="0" w:color="auto"/>
      </w:divBdr>
    </w:div>
    <w:div w:id="1810629950">
      <w:bodyDiv w:val="1"/>
      <w:marLeft w:val="0"/>
      <w:marRight w:val="0"/>
      <w:marTop w:val="0"/>
      <w:marBottom w:val="0"/>
      <w:divBdr>
        <w:top w:val="none" w:sz="0" w:space="0" w:color="auto"/>
        <w:left w:val="none" w:sz="0" w:space="0" w:color="auto"/>
        <w:bottom w:val="none" w:sz="0" w:space="0" w:color="auto"/>
        <w:right w:val="none" w:sz="0" w:space="0" w:color="auto"/>
      </w:divBdr>
    </w:div>
    <w:div w:id="1810975612">
      <w:bodyDiv w:val="1"/>
      <w:marLeft w:val="0"/>
      <w:marRight w:val="0"/>
      <w:marTop w:val="0"/>
      <w:marBottom w:val="0"/>
      <w:divBdr>
        <w:top w:val="none" w:sz="0" w:space="0" w:color="auto"/>
        <w:left w:val="none" w:sz="0" w:space="0" w:color="auto"/>
        <w:bottom w:val="none" w:sz="0" w:space="0" w:color="auto"/>
        <w:right w:val="none" w:sz="0" w:space="0" w:color="auto"/>
      </w:divBdr>
    </w:div>
    <w:div w:id="1820340937">
      <w:bodyDiv w:val="1"/>
      <w:marLeft w:val="0"/>
      <w:marRight w:val="0"/>
      <w:marTop w:val="0"/>
      <w:marBottom w:val="0"/>
      <w:divBdr>
        <w:top w:val="none" w:sz="0" w:space="0" w:color="auto"/>
        <w:left w:val="none" w:sz="0" w:space="0" w:color="auto"/>
        <w:bottom w:val="none" w:sz="0" w:space="0" w:color="auto"/>
        <w:right w:val="none" w:sz="0" w:space="0" w:color="auto"/>
      </w:divBdr>
    </w:div>
    <w:div w:id="1823035504">
      <w:bodyDiv w:val="1"/>
      <w:marLeft w:val="0"/>
      <w:marRight w:val="0"/>
      <w:marTop w:val="0"/>
      <w:marBottom w:val="0"/>
      <w:divBdr>
        <w:top w:val="none" w:sz="0" w:space="0" w:color="auto"/>
        <w:left w:val="none" w:sz="0" w:space="0" w:color="auto"/>
        <w:bottom w:val="none" w:sz="0" w:space="0" w:color="auto"/>
        <w:right w:val="none" w:sz="0" w:space="0" w:color="auto"/>
      </w:divBdr>
    </w:div>
    <w:div w:id="1825582149">
      <w:bodyDiv w:val="1"/>
      <w:marLeft w:val="0"/>
      <w:marRight w:val="0"/>
      <w:marTop w:val="0"/>
      <w:marBottom w:val="0"/>
      <w:divBdr>
        <w:top w:val="none" w:sz="0" w:space="0" w:color="auto"/>
        <w:left w:val="none" w:sz="0" w:space="0" w:color="auto"/>
        <w:bottom w:val="none" w:sz="0" w:space="0" w:color="auto"/>
        <w:right w:val="none" w:sz="0" w:space="0" w:color="auto"/>
      </w:divBdr>
    </w:div>
    <w:div w:id="1840997368">
      <w:bodyDiv w:val="1"/>
      <w:marLeft w:val="0"/>
      <w:marRight w:val="0"/>
      <w:marTop w:val="0"/>
      <w:marBottom w:val="0"/>
      <w:divBdr>
        <w:top w:val="none" w:sz="0" w:space="0" w:color="auto"/>
        <w:left w:val="none" w:sz="0" w:space="0" w:color="auto"/>
        <w:bottom w:val="none" w:sz="0" w:space="0" w:color="auto"/>
        <w:right w:val="none" w:sz="0" w:space="0" w:color="auto"/>
      </w:divBdr>
    </w:div>
    <w:div w:id="1844542638">
      <w:bodyDiv w:val="1"/>
      <w:marLeft w:val="0"/>
      <w:marRight w:val="0"/>
      <w:marTop w:val="0"/>
      <w:marBottom w:val="0"/>
      <w:divBdr>
        <w:top w:val="none" w:sz="0" w:space="0" w:color="auto"/>
        <w:left w:val="none" w:sz="0" w:space="0" w:color="auto"/>
        <w:bottom w:val="none" w:sz="0" w:space="0" w:color="auto"/>
        <w:right w:val="none" w:sz="0" w:space="0" w:color="auto"/>
      </w:divBdr>
    </w:div>
    <w:div w:id="1847666940">
      <w:bodyDiv w:val="1"/>
      <w:marLeft w:val="0"/>
      <w:marRight w:val="0"/>
      <w:marTop w:val="0"/>
      <w:marBottom w:val="0"/>
      <w:divBdr>
        <w:top w:val="none" w:sz="0" w:space="0" w:color="auto"/>
        <w:left w:val="none" w:sz="0" w:space="0" w:color="auto"/>
        <w:bottom w:val="none" w:sz="0" w:space="0" w:color="auto"/>
        <w:right w:val="none" w:sz="0" w:space="0" w:color="auto"/>
      </w:divBdr>
    </w:div>
    <w:div w:id="1851328870">
      <w:bodyDiv w:val="1"/>
      <w:marLeft w:val="0"/>
      <w:marRight w:val="0"/>
      <w:marTop w:val="0"/>
      <w:marBottom w:val="0"/>
      <w:divBdr>
        <w:top w:val="none" w:sz="0" w:space="0" w:color="auto"/>
        <w:left w:val="none" w:sz="0" w:space="0" w:color="auto"/>
        <w:bottom w:val="none" w:sz="0" w:space="0" w:color="auto"/>
        <w:right w:val="none" w:sz="0" w:space="0" w:color="auto"/>
      </w:divBdr>
    </w:div>
    <w:div w:id="1857383462">
      <w:bodyDiv w:val="1"/>
      <w:marLeft w:val="0"/>
      <w:marRight w:val="0"/>
      <w:marTop w:val="0"/>
      <w:marBottom w:val="0"/>
      <w:divBdr>
        <w:top w:val="none" w:sz="0" w:space="0" w:color="auto"/>
        <w:left w:val="none" w:sz="0" w:space="0" w:color="auto"/>
        <w:bottom w:val="none" w:sz="0" w:space="0" w:color="auto"/>
        <w:right w:val="none" w:sz="0" w:space="0" w:color="auto"/>
      </w:divBdr>
    </w:div>
    <w:div w:id="1857769829">
      <w:bodyDiv w:val="1"/>
      <w:marLeft w:val="0"/>
      <w:marRight w:val="0"/>
      <w:marTop w:val="0"/>
      <w:marBottom w:val="0"/>
      <w:divBdr>
        <w:top w:val="none" w:sz="0" w:space="0" w:color="auto"/>
        <w:left w:val="none" w:sz="0" w:space="0" w:color="auto"/>
        <w:bottom w:val="none" w:sz="0" w:space="0" w:color="auto"/>
        <w:right w:val="none" w:sz="0" w:space="0" w:color="auto"/>
      </w:divBdr>
    </w:div>
    <w:div w:id="1860393354">
      <w:bodyDiv w:val="1"/>
      <w:marLeft w:val="0"/>
      <w:marRight w:val="0"/>
      <w:marTop w:val="0"/>
      <w:marBottom w:val="0"/>
      <w:divBdr>
        <w:top w:val="none" w:sz="0" w:space="0" w:color="auto"/>
        <w:left w:val="none" w:sz="0" w:space="0" w:color="auto"/>
        <w:bottom w:val="none" w:sz="0" w:space="0" w:color="auto"/>
        <w:right w:val="none" w:sz="0" w:space="0" w:color="auto"/>
      </w:divBdr>
    </w:div>
    <w:div w:id="1867133339">
      <w:bodyDiv w:val="1"/>
      <w:marLeft w:val="0"/>
      <w:marRight w:val="0"/>
      <w:marTop w:val="0"/>
      <w:marBottom w:val="0"/>
      <w:divBdr>
        <w:top w:val="none" w:sz="0" w:space="0" w:color="auto"/>
        <w:left w:val="none" w:sz="0" w:space="0" w:color="auto"/>
        <w:bottom w:val="none" w:sz="0" w:space="0" w:color="auto"/>
        <w:right w:val="none" w:sz="0" w:space="0" w:color="auto"/>
      </w:divBdr>
    </w:div>
    <w:div w:id="1867256258">
      <w:bodyDiv w:val="1"/>
      <w:marLeft w:val="0"/>
      <w:marRight w:val="0"/>
      <w:marTop w:val="0"/>
      <w:marBottom w:val="0"/>
      <w:divBdr>
        <w:top w:val="none" w:sz="0" w:space="0" w:color="auto"/>
        <w:left w:val="none" w:sz="0" w:space="0" w:color="auto"/>
        <w:bottom w:val="none" w:sz="0" w:space="0" w:color="auto"/>
        <w:right w:val="none" w:sz="0" w:space="0" w:color="auto"/>
      </w:divBdr>
    </w:div>
    <w:div w:id="1883902124">
      <w:bodyDiv w:val="1"/>
      <w:marLeft w:val="0"/>
      <w:marRight w:val="0"/>
      <w:marTop w:val="0"/>
      <w:marBottom w:val="0"/>
      <w:divBdr>
        <w:top w:val="none" w:sz="0" w:space="0" w:color="auto"/>
        <w:left w:val="none" w:sz="0" w:space="0" w:color="auto"/>
        <w:bottom w:val="none" w:sz="0" w:space="0" w:color="auto"/>
        <w:right w:val="none" w:sz="0" w:space="0" w:color="auto"/>
      </w:divBdr>
    </w:div>
    <w:div w:id="1887907481">
      <w:bodyDiv w:val="1"/>
      <w:marLeft w:val="0"/>
      <w:marRight w:val="0"/>
      <w:marTop w:val="0"/>
      <w:marBottom w:val="0"/>
      <w:divBdr>
        <w:top w:val="none" w:sz="0" w:space="0" w:color="auto"/>
        <w:left w:val="none" w:sz="0" w:space="0" w:color="auto"/>
        <w:bottom w:val="none" w:sz="0" w:space="0" w:color="auto"/>
        <w:right w:val="none" w:sz="0" w:space="0" w:color="auto"/>
      </w:divBdr>
    </w:div>
    <w:div w:id="1890458395">
      <w:bodyDiv w:val="1"/>
      <w:marLeft w:val="0"/>
      <w:marRight w:val="0"/>
      <w:marTop w:val="0"/>
      <w:marBottom w:val="0"/>
      <w:divBdr>
        <w:top w:val="none" w:sz="0" w:space="0" w:color="auto"/>
        <w:left w:val="none" w:sz="0" w:space="0" w:color="auto"/>
        <w:bottom w:val="none" w:sz="0" w:space="0" w:color="auto"/>
        <w:right w:val="none" w:sz="0" w:space="0" w:color="auto"/>
      </w:divBdr>
    </w:div>
    <w:div w:id="1892501777">
      <w:bodyDiv w:val="1"/>
      <w:marLeft w:val="0"/>
      <w:marRight w:val="0"/>
      <w:marTop w:val="0"/>
      <w:marBottom w:val="0"/>
      <w:divBdr>
        <w:top w:val="none" w:sz="0" w:space="0" w:color="auto"/>
        <w:left w:val="none" w:sz="0" w:space="0" w:color="auto"/>
        <w:bottom w:val="none" w:sz="0" w:space="0" w:color="auto"/>
        <w:right w:val="none" w:sz="0" w:space="0" w:color="auto"/>
      </w:divBdr>
    </w:div>
    <w:div w:id="1896968481">
      <w:bodyDiv w:val="1"/>
      <w:marLeft w:val="0"/>
      <w:marRight w:val="0"/>
      <w:marTop w:val="0"/>
      <w:marBottom w:val="0"/>
      <w:divBdr>
        <w:top w:val="none" w:sz="0" w:space="0" w:color="auto"/>
        <w:left w:val="none" w:sz="0" w:space="0" w:color="auto"/>
        <w:bottom w:val="none" w:sz="0" w:space="0" w:color="auto"/>
        <w:right w:val="none" w:sz="0" w:space="0" w:color="auto"/>
      </w:divBdr>
    </w:div>
    <w:div w:id="1897082102">
      <w:bodyDiv w:val="1"/>
      <w:marLeft w:val="0"/>
      <w:marRight w:val="0"/>
      <w:marTop w:val="0"/>
      <w:marBottom w:val="0"/>
      <w:divBdr>
        <w:top w:val="none" w:sz="0" w:space="0" w:color="auto"/>
        <w:left w:val="none" w:sz="0" w:space="0" w:color="auto"/>
        <w:bottom w:val="none" w:sz="0" w:space="0" w:color="auto"/>
        <w:right w:val="none" w:sz="0" w:space="0" w:color="auto"/>
      </w:divBdr>
    </w:div>
    <w:div w:id="1897400035">
      <w:bodyDiv w:val="1"/>
      <w:marLeft w:val="0"/>
      <w:marRight w:val="0"/>
      <w:marTop w:val="0"/>
      <w:marBottom w:val="0"/>
      <w:divBdr>
        <w:top w:val="none" w:sz="0" w:space="0" w:color="auto"/>
        <w:left w:val="none" w:sz="0" w:space="0" w:color="auto"/>
        <w:bottom w:val="none" w:sz="0" w:space="0" w:color="auto"/>
        <w:right w:val="none" w:sz="0" w:space="0" w:color="auto"/>
      </w:divBdr>
    </w:div>
    <w:div w:id="1902906543">
      <w:bodyDiv w:val="1"/>
      <w:marLeft w:val="0"/>
      <w:marRight w:val="0"/>
      <w:marTop w:val="0"/>
      <w:marBottom w:val="0"/>
      <w:divBdr>
        <w:top w:val="none" w:sz="0" w:space="0" w:color="auto"/>
        <w:left w:val="none" w:sz="0" w:space="0" w:color="auto"/>
        <w:bottom w:val="none" w:sz="0" w:space="0" w:color="auto"/>
        <w:right w:val="none" w:sz="0" w:space="0" w:color="auto"/>
      </w:divBdr>
    </w:div>
    <w:div w:id="1904293315">
      <w:bodyDiv w:val="1"/>
      <w:marLeft w:val="0"/>
      <w:marRight w:val="0"/>
      <w:marTop w:val="0"/>
      <w:marBottom w:val="0"/>
      <w:divBdr>
        <w:top w:val="none" w:sz="0" w:space="0" w:color="auto"/>
        <w:left w:val="none" w:sz="0" w:space="0" w:color="auto"/>
        <w:bottom w:val="none" w:sz="0" w:space="0" w:color="auto"/>
        <w:right w:val="none" w:sz="0" w:space="0" w:color="auto"/>
      </w:divBdr>
    </w:div>
    <w:div w:id="1914271662">
      <w:bodyDiv w:val="1"/>
      <w:marLeft w:val="0"/>
      <w:marRight w:val="0"/>
      <w:marTop w:val="0"/>
      <w:marBottom w:val="0"/>
      <w:divBdr>
        <w:top w:val="none" w:sz="0" w:space="0" w:color="auto"/>
        <w:left w:val="none" w:sz="0" w:space="0" w:color="auto"/>
        <w:bottom w:val="none" w:sz="0" w:space="0" w:color="auto"/>
        <w:right w:val="none" w:sz="0" w:space="0" w:color="auto"/>
      </w:divBdr>
    </w:div>
    <w:div w:id="1925456754">
      <w:bodyDiv w:val="1"/>
      <w:marLeft w:val="0"/>
      <w:marRight w:val="0"/>
      <w:marTop w:val="0"/>
      <w:marBottom w:val="0"/>
      <w:divBdr>
        <w:top w:val="none" w:sz="0" w:space="0" w:color="auto"/>
        <w:left w:val="none" w:sz="0" w:space="0" w:color="auto"/>
        <w:bottom w:val="none" w:sz="0" w:space="0" w:color="auto"/>
        <w:right w:val="none" w:sz="0" w:space="0" w:color="auto"/>
      </w:divBdr>
    </w:div>
    <w:div w:id="1950621935">
      <w:bodyDiv w:val="1"/>
      <w:marLeft w:val="0"/>
      <w:marRight w:val="0"/>
      <w:marTop w:val="0"/>
      <w:marBottom w:val="0"/>
      <w:divBdr>
        <w:top w:val="none" w:sz="0" w:space="0" w:color="auto"/>
        <w:left w:val="none" w:sz="0" w:space="0" w:color="auto"/>
        <w:bottom w:val="none" w:sz="0" w:space="0" w:color="auto"/>
        <w:right w:val="none" w:sz="0" w:space="0" w:color="auto"/>
      </w:divBdr>
    </w:div>
    <w:div w:id="1954095373">
      <w:bodyDiv w:val="1"/>
      <w:marLeft w:val="0"/>
      <w:marRight w:val="0"/>
      <w:marTop w:val="0"/>
      <w:marBottom w:val="0"/>
      <w:divBdr>
        <w:top w:val="none" w:sz="0" w:space="0" w:color="auto"/>
        <w:left w:val="none" w:sz="0" w:space="0" w:color="auto"/>
        <w:bottom w:val="none" w:sz="0" w:space="0" w:color="auto"/>
        <w:right w:val="none" w:sz="0" w:space="0" w:color="auto"/>
      </w:divBdr>
    </w:div>
    <w:div w:id="1957909884">
      <w:bodyDiv w:val="1"/>
      <w:marLeft w:val="0"/>
      <w:marRight w:val="0"/>
      <w:marTop w:val="0"/>
      <w:marBottom w:val="0"/>
      <w:divBdr>
        <w:top w:val="none" w:sz="0" w:space="0" w:color="auto"/>
        <w:left w:val="none" w:sz="0" w:space="0" w:color="auto"/>
        <w:bottom w:val="none" w:sz="0" w:space="0" w:color="auto"/>
        <w:right w:val="none" w:sz="0" w:space="0" w:color="auto"/>
      </w:divBdr>
    </w:div>
    <w:div w:id="1964072261">
      <w:bodyDiv w:val="1"/>
      <w:marLeft w:val="0"/>
      <w:marRight w:val="0"/>
      <w:marTop w:val="0"/>
      <w:marBottom w:val="0"/>
      <w:divBdr>
        <w:top w:val="none" w:sz="0" w:space="0" w:color="auto"/>
        <w:left w:val="none" w:sz="0" w:space="0" w:color="auto"/>
        <w:bottom w:val="none" w:sz="0" w:space="0" w:color="auto"/>
        <w:right w:val="none" w:sz="0" w:space="0" w:color="auto"/>
      </w:divBdr>
    </w:div>
    <w:div w:id="1976835987">
      <w:bodyDiv w:val="1"/>
      <w:marLeft w:val="0"/>
      <w:marRight w:val="0"/>
      <w:marTop w:val="0"/>
      <w:marBottom w:val="0"/>
      <w:divBdr>
        <w:top w:val="none" w:sz="0" w:space="0" w:color="auto"/>
        <w:left w:val="none" w:sz="0" w:space="0" w:color="auto"/>
        <w:bottom w:val="none" w:sz="0" w:space="0" w:color="auto"/>
        <w:right w:val="none" w:sz="0" w:space="0" w:color="auto"/>
      </w:divBdr>
    </w:div>
    <w:div w:id="1977025348">
      <w:bodyDiv w:val="1"/>
      <w:marLeft w:val="0"/>
      <w:marRight w:val="0"/>
      <w:marTop w:val="0"/>
      <w:marBottom w:val="0"/>
      <w:divBdr>
        <w:top w:val="none" w:sz="0" w:space="0" w:color="auto"/>
        <w:left w:val="none" w:sz="0" w:space="0" w:color="auto"/>
        <w:bottom w:val="none" w:sz="0" w:space="0" w:color="auto"/>
        <w:right w:val="none" w:sz="0" w:space="0" w:color="auto"/>
      </w:divBdr>
    </w:div>
    <w:div w:id="1980915872">
      <w:bodyDiv w:val="1"/>
      <w:marLeft w:val="0"/>
      <w:marRight w:val="0"/>
      <w:marTop w:val="0"/>
      <w:marBottom w:val="0"/>
      <w:divBdr>
        <w:top w:val="none" w:sz="0" w:space="0" w:color="auto"/>
        <w:left w:val="none" w:sz="0" w:space="0" w:color="auto"/>
        <w:bottom w:val="none" w:sz="0" w:space="0" w:color="auto"/>
        <w:right w:val="none" w:sz="0" w:space="0" w:color="auto"/>
      </w:divBdr>
    </w:div>
    <w:div w:id="1982146605">
      <w:bodyDiv w:val="1"/>
      <w:marLeft w:val="0"/>
      <w:marRight w:val="0"/>
      <w:marTop w:val="0"/>
      <w:marBottom w:val="0"/>
      <w:divBdr>
        <w:top w:val="none" w:sz="0" w:space="0" w:color="auto"/>
        <w:left w:val="none" w:sz="0" w:space="0" w:color="auto"/>
        <w:bottom w:val="none" w:sz="0" w:space="0" w:color="auto"/>
        <w:right w:val="none" w:sz="0" w:space="0" w:color="auto"/>
      </w:divBdr>
    </w:div>
    <w:div w:id="1985162400">
      <w:bodyDiv w:val="1"/>
      <w:marLeft w:val="0"/>
      <w:marRight w:val="0"/>
      <w:marTop w:val="0"/>
      <w:marBottom w:val="0"/>
      <w:divBdr>
        <w:top w:val="none" w:sz="0" w:space="0" w:color="auto"/>
        <w:left w:val="none" w:sz="0" w:space="0" w:color="auto"/>
        <w:bottom w:val="none" w:sz="0" w:space="0" w:color="auto"/>
        <w:right w:val="none" w:sz="0" w:space="0" w:color="auto"/>
      </w:divBdr>
    </w:div>
    <w:div w:id="1990936533">
      <w:bodyDiv w:val="1"/>
      <w:marLeft w:val="0"/>
      <w:marRight w:val="0"/>
      <w:marTop w:val="0"/>
      <w:marBottom w:val="0"/>
      <w:divBdr>
        <w:top w:val="none" w:sz="0" w:space="0" w:color="auto"/>
        <w:left w:val="none" w:sz="0" w:space="0" w:color="auto"/>
        <w:bottom w:val="none" w:sz="0" w:space="0" w:color="auto"/>
        <w:right w:val="none" w:sz="0" w:space="0" w:color="auto"/>
      </w:divBdr>
    </w:div>
    <w:div w:id="2004701855">
      <w:bodyDiv w:val="1"/>
      <w:marLeft w:val="0"/>
      <w:marRight w:val="0"/>
      <w:marTop w:val="0"/>
      <w:marBottom w:val="0"/>
      <w:divBdr>
        <w:top w:val="none" w:sz="0" w:space="0" w:color="auto"/>
        <w:left w:val="none" w:sz="0" w:space="0" w:color="auto"/>
        <w:bottom w:val="none" w:sz="0" w:space="0" w:color="auto"/>
        <w:right w:val="none" w:sz="0" w:space="0" w:color="auto"/>
      </w:divBdr>
    </w:div>
    <w:div w:id="2006859655">
      <w:bodyDiv w:val="1"/>
      <w:marLeft w:val="0"/>
      <w:marRight w:val="0"/>
      <w:marTop w:val="0"/>
      <w:marBottom w:val="0"/>
      <w:divBdr>
        <w:top w:val="none" w:sz="0" w:space="0" w:color="auto"/>
        <w:left w:val="none" w:sz="0" w:space="0" w:color="auto"/>
        <w:bottom w:val="none" w:sz="0" w:space="0" w:color="auto"/>
        <w:right w:val="none" w:sz="0" w:space="0" w:color="auto"/>
      </w:divBdr>
    </w:div>
    <w:div w:id="2010399486">
      <w:bodyDiv w:val="1"/>
      <w:marLeft w:val="0"/>
      <w:marRight w:val="0"/>
      <w:marTop w:val="0"/>
      <w:marBottom w:val="0"/>
      <w:divBdr>
        <w:top w:val="none" w:sz="0" w:space="0" w:color="auto"/>
        <w:left w:val="none" w:sz="0" w:space="0" w:color="auto"/>
        <w:bottom w:val="none" w:sz="0" w:space="0" w:color="auto"/>
        <w:right w:val="none" w:sz="0" w:space="0" w:color="auto"/>
      </w:divBdr>
    </w:div>
    <w:div w:id="2012171456">
      <w:bodyDiv w:val="1"/>
      <w:marLeft w:val="0"/>
      <w:marRight w:val="0"/>
      <w:marTop w:val="0"/>
      <w:marBottom w:val="0"/>
      <w:divBdr>
        <w:top w:val="none" w:sz="0" w:space="0" w:color="auto"/>
        <w:left w:val="none" w:sz="0" w:space="0" w:color="auto"/>
        <w:bottom w:val="none" w:sz="0" w:space="0" w:color="auto"/>
        <w:right w:val="none" w:sz="0" w:space="0" w:color="auto"/>
      </w:divBdr>
    </w:div>
    <w:div w:id="2012365709">
      <w:bodyDiv w:val="1"/>
      <w:marLeft w:val="0"/>
      <w:marRight w:val="0"/>
      <w:marTop w:val="0"/>
      <w:marBottom w:val="0"/>
      <w:divBdr>
        <w:top w:val="none" w:sz="0" w:space="0" w:color="auto"/>
        <w:left w:val="none" w:sz="0" w:space="0" w:color="auto"/>
        <w:bottom w:val="none" w:sz="0" w:space="0" w:color="auto"/>
        <w:right w:val="none" w:sz="0" w:space="0" w:color="auto"/>
      </w:divBdr>
    </w:div>
    <w:div w:id="2019692591">
      <w:bodyDiv w:val="1"/>
      <w:marLeft w:val="0"/>
      <w:marRight w:val="0"/>
      <w:marTop w:val="0"/>
      <w:marBottom w:val="0"/>
      <w:divBdr>
        <w:top w:val="none" w:sz="0" w:space="0" w:color="auto"/>
        <w:left w:val="none" w:sz="0" w:space="0" w:color="auto"/>
        <w:bottom w:val="none" w:sz="0" w:space="0" w:color="auto"/>
        <w:right w:val="none" w:sz="0" w:space="0" w:color="auto"/>
      </w:divBdr>
    </w:div>
    <w:div w:id="2021424411">
      <w:bodyDiv w:val="1"/>
      <w:marLeft w:val="0"/>
      <w:marRight w:val="0"/>
      <w:marTop w:val="0"/>
      <w:marBottom w:val="0"/>
      <w:divBdr>
        <w:top w:val="none" w:sz="0" w:space="0" w:color="auto"/>
        <w:left w:val="none" w:sz="0" w:space="0" w:color="auto"/>
        <w:bottom w:val="none" w:sz="0" w:space="0" w:color="auto"/>
        <w:right w:val="none" w:sz="0" w:space="0" w:color="auto"/>
      </w:divBdr>
    </w:div>
    <w:div w:id="2026394818">
      <w:bodyDiv w:val="1"/>
      <w:marLeft w:val="0"/>
      <w:marRight w:val="0"/>
      <w:marTop w:val="0"/>
      <w:marBottom w:val="0"/>
      <w:divBdr>
        <w:top w:val="none" w:sz="0" w:space="0" w:color="auto"/>
        <w:left w:val="none" w:sz="0" w:space="0" w:color="auto"/>
        <w:bottom w:val="none" w:sz="0" w:space="0" w:color="auto"/>
        <w:right w:val="none" w:sz="0" w:space="0" w:color="auto"/>
      </w:divBdr>
    </w:div>
    <w:div w:id="2035492588">
      <w:bodyDiv w:val="1"/>
      <w:marLeft w:val="0"/>
      <w:marRight w:val="0"/>
      <w:marTop w:val="0"/>
      <w:marBottom w:val="0"/>
      <w:divBdr>
        <w:top w:val="none" w:sz="0" w:space="0" w:color="auto"/>
        <w:left w:val="none" w:sz="0" w:space="0" w:color="auto"/>
        <w:bottom w:val="none" w:sz="0" w:space="0" w:color="auto"/>
        <w:right w:val="none" w:sz="0" w:space="0" w:color="auto"/>
      </w:divBdr>
    </w:div>
    <w:div w:id="2041197898">
      <w:bodyDiv w:val="1"/>
      <w:marLeft w:val="0"/>
      <w:marRight w:val="0"/>
      <w:marTop w:val="0"/>
      <w:marBottom w:val="0"/>
      <w:divBdr>
        <w:top w:val="none" w:sz="0" w:space="0" w:color="auto"/>
        <w:left w:val="none" w:sz="0" w:space="0" w:color="auto"/>
        <w:bottom w:val="none" w:sz="0" w:space="0" w:color="auto"/>
        <w:right w:val="none" w:sz="0" w:space="0" w:color="auto"/>
      </w:divBdr>
    </w:div>
    <w:div w:id="2041662281">
      <w:bodyDiv w:val="1"/>
      <w:marLeft w:val="0"/>
      <w:marRight w:val="0"/>
      <w:marTop w:val="0"/>
      <w:marBottom w:val="0"/>
      <w:divBdr>
        <w:top w:val="none" w:sz="0" w:space="0" w:color="auto"/>
        <w:left w:val="none" w:sz="0" w:space="0" w:color="auto"/>
        <w:bottom w:val="none" w:sz="0" w:space="0" w:color="auto"/>
        <w:right w:val="none" w:sz="0" w:space="0" w:color="auto"/>
      </w:divBdr>
    </w:div>
    <w:div w:id="2052266572">
      <w:bodyDiv w:val="1"/>
      <w:marLeft w:val="0"/>
      <w:marRight w:val="0"/>
      <w:marTop w:val="0"/>
      <w:marBottom w:val="0"/>
      <w:divBdr>
        <w:top w:val="none" w:sz="0" w:space="0" w:color="auto"/>
        <w:left w:val="none" w:sz="0" w:space="0" w:color="auto"/>
        <w:bottom w:val="none" w:sz="0" w:space="0" w:color="auto"/>
        <w:right w:val="none" w:sz="0" w:space="0" w:color="auto"/>
      </w:divBdr>
    </w:div>
    <w:div w:id="2053920901">
      <w:bodyDiv w:val="1"/>
      <w:marLeft w:val="0"/>
      <w:marRight w:val="0"/>
      <w:marTop w:val="0"/>
      <w:marBottom w:val="0"/>
      <w:divBdr>
        <w:top w:val="none" w:sz="0" w:space="0" w:color="auto"/>
        <w:left w:val="none" w:sz="0" w:space="0" w:color="auto"/>
        <w:bottom w:val="none" w:sz="0" w:space="0" w:color="auto"/>
        <w:right w:val="none" w:sz="0" w:space="0" w:color="auto"/>
      </w:divBdr>
    </w:div>
    <w:div w:id="2057388998">
      <w:bodyDiv w:val="1"/>
      <w:marLeft w:val="0"/>
      <w:marRight w:val="0"/>
      <w:marTop w:val="0"/>
      <w:marBottom w:val="0"/>
      <w:divBdr>
        <w:top w:val="none" w:sz="0" w:space="0" w:color="auto"/>
        <w:left w:val="none" w:sz="0" w:space="0" w:color="auto"/>
        <w:bottom w:val="none" w:sz="0" w:space="0" w:color="auto"/>
        <w:right w:val="none" w:sz="0" w:space="0" w:color="auto"/>
      </w:divBdr>
    </w:div>
    <w:div w:id="2066758921">
      <w:bodyDiv w:val="1"/>
      <w:marLeft w:val="0"/>
      <w:marRight w:val="0"/>
      <w:marTop w:val="0"/>
      <w:marBottom w:val="0"/>
      <w:divBdr>
        <w:top w:val="none" w:sz="0" w:space="0" w:color="auto"/>
        <w:left w:val="none" w:sz="0" w:space="0" w:color="auto"/>
        <w:bottom w:val="none" w:sz="0" w:space="0" w:color="auto"/>
        <w:right w:val="none" w:sz="0" w:space="0" w:color="auto"/>
      </w:divBdr>
    </w:div>
    <w:div w:id="2068409044">
      <w:bodyDiv w:val="1"/>
      <w:marLeft w:val="0"/>
      <w:marRight w:val="0"/>
      <w:marTop w:val="0"/>
      <w:marBottom w:val="0"/>
      <w:divBdr>
        <w:top w:val="none" w:sz="0" w:space="0" w:color="auto"/>
        <w:left w:val="none" w:sz="0" w:space="0" w:color="auto"/>
        <w:bottom w:val="none" w:sz="0" w:space="0" w:color="auto"/>
        <w:right w:val="none" w:sz="0" w:space="0" w:color="auto"/>
      </w:divBdr>
    </w:div>
    <w:div w:id="2079208952">
      <w:bodyDiv w:val="1"/>
      <w:marLeft w:val="0"/>
      <w:marRight w:val="0"/>
      <w:marTop w:val="0"/>
      <w:marBottom w:val="0"/>
      <w:divBdr>
        <w:top w:val="none" w:sz="0" w:space="0" w:color="auto"/>
        <w:left w:val="none" w:sz="0" w:space="0" w:color="auto"/>
        <w:bottom w:val="none" w:sz="0" w:space="0" w:color="auto"/>
        <w:right w:val="none" w:sz="0" w:space="0" w:color="auto"/>
      </w:divBdr>
    </w:div>
    <w:div w:id="2079595802">
      <w:bodyDiv w:val="1"/>
      <w:marLeft w:val="0"/>
      <w:marRight w:val="0"/>
      <w:marTop w:val="0"/>
      <w:marBottom w:val="0"/>
      <w:divBdr>
        <w:top w:val="none" w:sz="0" w:space="0" w:color="auto"/>
        <w:left w:val="none" w:sz="0" w:space="0" w:color="auto"/>
        <w:bottom w:val="none" w:sz="0" w:space="0" w:color="auto"/>
        <w:right w:val="none" w:sz="0" w:space="0" w:color="auto"/>
      </w:divBdr>
    </w:div>
    <w:div w:id="2088457896">
      <w:bodyDiv w:val="1"/>
      <w:marLeft w:val="0"/>
      <w:marRight w:val="0"/>
      <w:marTop w:val="0"/>
      <w:marBottom w:val="0"/>
      <w:divBdr>
        <w:top w:val="none" w:sz="0" w:space="0" w:color="auto"/>
        <w:left w:val="none" w:sz="0" w:space="0" w:color="auto"/>
        <w:bottom w:val="none" w:sz="0" w:space="0" w:color="auto"/>
        <w:right w:val="none" w:sz="0" w:space="0" w:color="auto"/>
      </w:divBdr>
    </w:div>
    <w:div w:id="2092657100">
      <w:bodyDiv w:val="1"/>
      <w:marLeft w:val="0"/>
      <w:marRight w:val="0"/>
      <w:marTop w:val="0"/>
      <w:marBottom w:val="0"/>
      <w:divBdr>
        <w:top w:val="none" w:sz="0" w:space="0" w:color="auto"/>
        <w:left w:val="none" w:sz="0" w:space="0" w:color="auto"/>
        <w:bottom w:val="none" w:sz="0" w:space="0" w:color="auto"/>
        <w:right w:val="none" w:sz="0" w:space="0" w:color="auto"/>
      </w:divBdr>
    </w:div>
    <w:div w:id="2097938615">
      <w:bodyDiv w:val="1"/>
      <w:marLeft w:val="0"/>
      <w:marRight w:val="0"/>
      <w:marTop w:val="0"/>
      <w:marBottom w:val="0"/>
      <w:divBdr>
        <w:top w:val="none" w:sz="0" w:space="0" w:color="auto"/>
        <w:left w:val="none" w:sz="0" w:space="0" w:color="auto"/>
        <w:bottom w:val="none" w:sz="0" w:space="0" w:color="auto"/>
        <w:right w:val="none" w:sz="0" w:space="0" w:color="auto"/>
      </w:divBdr>
    </w:div>
    <w:div w:id="2102600648">
      <w:bodyDiv w:val="1"/>
      <w:marLeft w:val="0"/>
      <w:marRight w:val="0"/>
      <w:marTop w:val="0"/>
      <w:marBottom w:val="0"/>
      <w:divBdr>
        <w:top w:val="none" w:sz="0" w:space="0" w:color="auto"/>
        <w:left w:val="none" w:sz="0" w:space="0" w:color="auto"/>
        <w:bottom w:val="none" w:sz="0" w:space="0" w:color="auto"/>
        <w:right w:val="none" w:sz="0" w:space="0" w:color="auto"/>
      </w:divBdr>
    </w:div>
    <w:div w:id="2110153549">
      <w:bodyDiv w:val="1"/>
      <w:marLeft w:val="0"/>
      <w:marRight w:val="0"/>
      <w:marTop w:val="0"/>
      <w:marBottom w:val="0"/>
      <w:divBdr>
        <w:top w:val="none" w:sz="0" w:space="0" w:color="auto"/>
        <w:left w:val="none" w:sz="0" w:space="0" w:color="auto"/>
        <w:bottom w:val="none" w:sz="0" w:space="0" w:color="auto"/>
        <w:right w:val="none" w:sz="0" w:space="0" w:color="auto"/>
      </w:divBdr>
    </w:div>
    <w:div w:id="2125999682">
      <w:bodyDiv w:val="1"/>
      <w:marLeft w:val="0"/>
      <w:marRight w:val="0"/>
      <w:marTop w:val="0"/>
      <w:marBottom w:val="0"/>
      <w:divBdr>
        <w:top w:val="none" w:sz="0" w:space="0" w:color="auto"/>
        <w:left w:val="none" w:sz="0" w:space="0" w:color="auto"/>
        <w:bottom w:val="none" w:sz="0" w:space="0" w:color="auto"/>
        <w:right w:val="none" w:sz="0" w:space="0" w:color="auto"/>
      </w:divBdr>
    </w:div>
    <w:div w:id="2129010644">
      <w:bodyDiv w:val="1"/>
      <w:marLeft w:val="0"/>
      <w:marRight w:val="0"/>
      <w:marTop w:val="0"/>
      <w:marBottom w:val="0"/>
      <w:divBdr>
        <w:top w:val="none" w:sz="0" w:space="0" w:color="auto"/>
        <w:left w:val="none" w:sz="0" w:space="0" w:color="auto"/>
        <w:bottom w:val="none" w:sz="0" w:space="0" w:color="auto"/>
        <w:right w:val="none" w:sz="0" w:space="0" w:color="auto"/>
      </w:divBdr>
    </w:div>
    <w:div w:id="2138449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hieveability.org.uk/files/1633342857/achieveability-neurodiverse-voices-second-interactive-e-journal-2021.pdf" TargetMode="Externa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charlesfreemanprojects.com/about-neurodiversity-economi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ONS198</b:Tag>
    <b:SourceType>InternetSite</b:SourceType>
    <b:Guid>{460730BC-7BCE-4261-8C06-E9CC48626DB2}</b:Guid>
    <b:Year>2019</b:Year>
    <b:Author>
      <b:Author>
        <b:NameList>
          <b:Person>
            <b:Last>ONS</b:Last>
          </b:Person>
        </b:NameList>
      </b:Author>
    </b:Author>
    <b:URL>https://www.ons.gov.uk/economy/nationalaccounts/uksectoraccounts/compendium/economicreview/april2019/longtermtrendsinukemployment1861to2018</b:URL>
    <b:RefOrder>41</b:RefOrder>
  </b:Source>
  <b:Source>
    <b:Tag>ONS9c2</b:Tag>
    <b:SourceType>InternetSite</b:SourceType>
    <b:Guid>{B234EA2E-C3E3-4F25-AC91-1CC3F2220D7F}</b:Guid>
    <b:Author>
      <b:Author>
        <b:NameList>
          <b:Person>
            <b:Last>ONS</b:Last>
          </b:Person>
        </b:NameList>
      </b:Author>
    </b:Author>
    <b:Year>2019c</b:Year>
    <b:URL>https://www.ons.gov.uk/economy/nationalaccounts/uksectoraccounts/compendium/economicreview/april2019/longtermtrendsinukemployment1861to2018</b:URL>
    <b:RefOrder>42</b:RefOrder>
  </b:Source>
  <b:Source>
    <b:Tag>Mcd91</b:Tag>
    <b:SourceType>Book</b:SourceType>
    <b:Guid>{AD5ED4F9-54F7-4A3D-8442-CA1C654C0711}</b:Guid>
    <b:Author>
      <b:Author>
        <b:NameList>
          <b:Person>
            <b:Last>Critchley</b:Last>
            <b:First>Mcdonald</b:First>
          </b:Person>
        </b:NameList>
      </b:Author>
    </b:Author>
    <b:Title>The Dyslexic Child</b:Title>
    <b:Year>1970; p91</b:Year>
    <b:Publisher>Heinemann</b:Publisher>
    <b:Edition>2nd</b:Edition>
    <b:RefOrder>3</b:RefOrder>
  </b:Source>
  <b:Source>
    <b:Tag>Hoy07</b:Tag>
    <b:SourceType>Book</b:SourceType>
    <b:Guid>{29B0CF4C-794C-47DE-B54A-E0791E00844C}</b:Guid>
    <b:Author>
      <b:Author>
        <b:NameList>
          <b:Person>
            <b:Last>Hoyles</b:Last>
            <b:First>Asher</b:First>
            <b:Middle>and Martin</b:Middle>
          </b:Person>
        </b:NameList>
      </b:Author>
    </b:Author>
    <b:Title>Dyslexia from a cultural prospective</b:Title>
    <b:Year>2007</b:Year>
    <b:Publisher>Hansib</b:Publisher>
    <b:RefOrder>5</b:RefOrder>
  </b:Source>
  <b:Source>
    <b:Tag>Hou2a</b:Tag>
    <b:SourceType>Book</b:SourceType>
    <b:Guid>{A5AE59BF-EE69-4B9D-A741-86D6FFEB6894}</b:Guid>
    <b:Author>
      <b:Author>
        <b:NameList>
          <b:Person>
            <b:Last>Commons</b:Last>
            <b:First>House</b:First>
            <b:Middle>of</b:Middle>
          </b:Person>
        </b:NameList>
      </b:Author>
    </b:Author>
    <b:Title>Education Historical Statistics House of Commons Library</b:Title>
    <b:Year>2012a</b:Year>
    <b:RefOrder>43</b:RefOrder>
  </b:Source>
  <b:Source>
    <b:Tag>ONS9d1</b:Tag>
    <b:SourceType>InternetSite</b:SourceType>
    <b:Guid>{008527E0-456B-46F1-9EAC-0F5DF8DAA403}</b:Guid>
    <b:Author>
      <b:Author>
        <b:NameList>
          <b:Person>
            <b:Last>ONS</b:Last>
          </b:Person>
        </b:NameList>
      </b:Author>
    </b:Author>
    <b:Title>Long Term Trends in UK Employment 1861-1918</b:Title>
    <b:Year>2019d</b:Year>
    <b:URL>https://www.ons.gov.uk/economy/nationalaccounts/uksectoraccounts/compendium/economicreview/april2019/longtermtrendsinukemployment1861to2018</b:URL>
    <b:RefOrder>44</b:RefOrder>
  </b:Source>
  <b:Source>
    <b:Tag>ONS9e</b:Tag>
    <b:SourceType>InternetSite</b:SourceType>
    <b:Guid>{DA61303E-5250-4C29-9CA3-4778778E3659}</b:Guid>
    <b:Author>
      <b:Author>
        <b:NameList>
          <b:Person>
            <b:Last>ONS</b:Last>
          </b:Person>
        </b:NameList>
      </b:Author>
    </b:Author>
    <b:Title>Long Term Trends in UK Employment 1861 to 2018</b:Title>
    <b:Year>2019e</b:Year>
    <b:URL>https://www.ons.gov.uk/economy/nationalaccounts/uksectoraccounts/compendium/economicreview/april2019/longtermtrendsinukemployment1861to2018</b:URL>
    <b:RefOrder>45</b:RefOrder>
  </b:Source>
  <b:Source>
    <b:Tag>Pro13</b:Tag>
    <b:SourceType>InternetSite</b:SourceType>
    <b:Guid>{CC99031B-6071-4693-A2B0-3BA213EB4E9A}</b:Guid>
    <b:Author>
      <b:Author>
        <b:NameList>
          <b:Person>
            <b:Last>Logan</b:Last>
            <b:First>Prof</b:First>
            <b:Middle>J</b:Middle>
          </b:Person>
        </b:NameList>
      </b:Author>
    </b:Author>
    <b:Title>Dyslexic Entrepreneurs</b:Title>
    <b:Year>2009a; p13</b:Year>
    <b:RefOrder>46</b:RefOrder>
  </b:Source>
  <b:Source>
    <b:Tag>GMB19</b:Tag>
    <b:SourceType>InternetSite</b:SourceType>
    <b:Guid>{52792800-1B64-46F4-A630-4617F4510E82}</b:Guid>
    <b:Author>
      <b:Author>
        <b:NameList>
          <b:Person>
            <b:Last>GMB</b:Last>
          </b:Person>
        </b:NameList>
      </b:Author>
    </b:Author>
    <b:Title>GMB Reasonable Adjustment Passport Campaign</b:Title>
    <b:Year>2019</b:Year>
    <b:URL>https://www.gmb.org.uk/campaign/reasonable-adjustment-passport</b:URL>
    <b:RefOrder>26</b:RefOrder>
  </b:Source>
  <b:Source>
    <b:Tag>Gos1a</b:Tag>
    <b:SourceType>InternetSite</b:SourceType>
    <b:Guid>{77A03895-C0AD-481B-9747-8FECB2AE5672}</b:Guid>
    <b:Author>
      <b:Author>
        <b:NameList>
          <b:Person>
            <b:Last>Gosimpletax</b:Last>
          </b:Person>
        </b:NameList>
      </b:Author>
    </b:Author>
    <b:Title>Self Employment Statistics</b:Title>
    <b:Year>2021a</b:Year>
    <b:URL>https://www.gosimpletax.com/insights/self-employment-statistics#:~:text=The%20largest%20percentage%20of%20self,%2D64%20are%20self%2Demployed</b:URL>
    <b:RefOrder>47</b:RefOrder>
  </b:Source>
  <b:Source>
    <b:Tag>UKC80</b:Tag>
    <b:SourceType>Misc</b:SourceType>
    <b:Guid>{96241F9F-641B-46F6-ACA6-9033D401B6B9}</b:Guid>
    <b:Title>UK Commission for Employment and Skills The Future of Work</b:Title>
    <b:Year>2014; p80</b:Year>
    <b:RefOrder>48</b:RefOrder>
  </b:Source>
  <b:Source>
    <b:Tag>NHS</b:Tag>
    <b:SourceType>InternetSite</b:SourceType>
    <b:Guid>{5F776E11-37C2-4D0F-99AE-A42112920D46}</b:Guid>
    <b:Author>
      <b:Author>
        <b:NameList>
          <b:Person>
            <b:Last>NHS</b:Last>
          </b:Person>
        </b:NameList>
      </b:Author>
    </b:Author>
    <b:Title>Dyslexia</b:Title>
    <b:URL>https://www.nhs.uk/conditions/dyslexia/#:~:text=It's%20estimated%20up%20to%201,has%20some%20degree%20of%20dyslexia</b:URL>
    <b:Year>2018</b:Year>
    <b:RefOrder>14</b:RefOrder>
  </b:Source>
  <b:Source>
    <b:Tag>Nom</b:Tag>
    <b:SourceType>InternetSite</b:SourceType>
    <b:Guid>{F7D91205-409D-46BB-8219-9DB3772E44DE}</b:Guid>
    <b:Author>
      <b:Author>
        <b:NameList>
          <b:Person>
            <b:Last>Nomis</b:Last>
          </b:Person>
        </b:NameList>
      </b:Author>
    </b:Author>
    <b:Title>Official Labour Market Statistics</b:Title>
    <b:URL>https://www.nomisweb.co.uk/reports/lmp/gor/2092957698/report.aspx#tabempocc</b:URL>
    <b:Year>2021</b:Year>
    <b:RefOrder>16</b:RefOrder>
  </b:Source>
  <b:Source>
    <b:Tag>ACA21</b:Tag>
    <b:SourceType>InternetSite</b:SourceType>
    <b:Guid>{06BEB36E-32A6-4D12-85F2-16D7B0D2A4EF}</b:Guid>
    <b:Author>
      <b:Author>
        <b:Corporate>ACAS</b:Corporate>
      </b:Author>
    </b:Author>
    <b:Title>Neurodiversity at work </b:Title>
    <b:Year>Achived 2021</b:Year>
    <b:URL>https://webarchive.nationalarchives.gov.uk/ukgwa/20210104113255/https://archive.acas.org.uk/index.aspx?articleid=6676</b:URL>
    <b:RefOrder>36</b:RefOrder>
  </b:Source>
  <b:Source>
    <b:Tag>Wor12</b:Tag>
    <b:SourceType>InternetSite</b:SourceType>
    <b:Guid>{57758291-CA82-428F-9990-FBD2329CE307}</b:Guid>
    <b:Author>
      <b:Author>
        <b:Corporate>Work and Pensions Committee UK parliament </b:Corporate>
      </b:Author>
    </b:Author>
    <b:Title>British Dyslexia Association Written Evidence </b:Title>
    <b:Year>2012</b:Year>
    <b:URL>https://publications.parliament.uk/pa/cm201213/cmselect/cmworpen/576/576vw08.htm</b:URL>
    <b:RefOrder>37</b:RefOrder>
  </b:Source>
  <b:Source>
    <b:Tag>UKC14</b:Tag>
    <b:SourceType>Report</b:SourceType>
    <b:Guid>{C3E86956-F08C-4940-B2FE-F7CF127AD400}</b:Guid>
    <b:Author>
      <b:Author>
        <b:Corporate>UK Commission for Employment and Skills </b:Corporate>
      </b:Author>
    </b:Author>
    <b:Title>The Future of Jobs and work 2030</b:Title>
    <b:Year>2014</b:Year>
    <b:Publisher>UK Government</b:Publisher>
    <b:RefOrder>40</b:RefOrder>
  </b:Source>
  <b:Source>
    <b:Tag>ONS19</b:Tag>
    <b:SourceType>DocumentFromInternetSite</b:SourceType>
    <b:Guid>{425ED210-CF31-425B-9CEE-6219C5AD7636}</b:Guid>
    <b:Author>
      <b:Author>
        <b:Corporate>Office of National Statistics</b:Corporate>
      </b:Author>
    </b:Author>
    <b:Title>Changes in the Economy since the 1970s</b:Title>
    <b:Year>2019</b:Year>
    <b:Publisher>Office of National Statistics</b:Publisher>
    <b:URL>https://www.ons.gov.uk/economy/economicoutputandproductivity/output/articles/changesintheeconomysincethe1970s/2019-09-02</b:URL>
    <b:RefOrder>1</b:RefOrder>
  </b:Source>
  <b:Source>
    <b:Tag>ONS9b4</b:Tag>
    <b:SourceType>DocumentFromInternetSite</b:SourceType>
    <b:Guid>{46559704-6FEC-4482-8885-567E0A1D21C2}</b:Guid>
    <b:Author>
      <b:Author>
        <b:Corporate>Office for national Statistics</b:Corporate>
      </b:Author>
    </b:Author>
    <b:Year>2019b</b:Year>
    <b:URL>https://www.ons.gov.uk/economy/economicoutputandproductivity/output/articles/changesintheeconomysincethe1970s/2019-09-02</b:URL>
    <b:Title>Changes in the economy since the 1970s -Section 4, Employment levels by employment type, gender, sectors and subsectors</b:Title>
    <b:YearAccessed>2021</b:YearAccessed>
    <b:MonthAccessed>Sept</b:MonthAccessed>
    <b:DayAccessed>18</b:DayAccessed>
    <b:RefOrder>2</b:RefOrder>
  </b:Source>
  <b:Source>
    <b:Tag>SRA12</b:Tag>
    <b:SourceType>DocumentFromInternetSite</b:SourceType>
    <b:Guid>{8DE98E7A-281D-4E53-AC05-8178D309DA1A}</b:Guid>
    <b:Author>
      <b:Author>
        <b:Corporate>Solicitors Regulatory Authority</b:Corporate>
      </b:Author>
    </b:Author>
    <b:Year>2017, p21; p12</b:Year>
    <b:URL>https://www.sra.org.uk/sra/how-we-work/reports/diversity-legal-profession/</b:URL>
    <b:Title>Mapping advantages and disadvantages: Diversity in the legal profession in England and Wales</b:Title>
    <b:YearAccessed>2021</b:YearAccessed>
    <b:MonthAccessed>September</b:MonthAccessed>
    <b:DayAccessed>18</b:DayAccessed>
    <b:RefOrder>4</b:RefOrder>
  </b:Source>
  <b:Source>
    <b:Tag>Rea1</b:Tag>
    <b:SourceType>DocumentFromInternetSite</b:SourceType>
    <b:Guid>{6F6F93B6-CA2C-4F2C-92E8-F71E22BEA7C9}</b:Guid>
    <b:Author>
      <b:Author>
        <b:NameList>
          <b:Person>
            <b:Last>Readingwell</b:Last>
          </b:Person>
        </b:NameList>
      </b:Author>
    </b:Author>
    <b:Title>Dyslexia Statistics and Myth Busting Facts</b:Title>
    <b:URL>https://www.dyslexia-reading-well.com/dyslexia-statistics.html</b:URL>
    <b:Year>2021</b:Year>
    <b:YearAccessed>2021</b:YearAccessed>
    <b:MonthAccessed>September</b:MonthAccessed>
    <b:DayAccessed>18</b:DayAccessed>
    <b:RefOrder>6</b:RefOrder>
  </b:Source>
  <b:Source>
    <b:Tag>BBC19</b:Tag>
    <b:SourceType>InternetSite</b:SourceType>
    <b:Guid>{1DE773D0-2074-4FCF-A84F-BB0210DA10FF}</b:Guid>
    <b:Author>
      <b:Author>
        <b:Corporate>BBC News</b:Corporate>
      </b:Author>
    </b:Author>
    <b:Title>The Symbolic Target of 50% at University</b:Title>
    <b:Year>2019</b:Year>
    <b:URL>https://www.bbc.co.uk/news/education-49841620#.~.text=The%20proportion%20of%20young%20people,to%20go%20into%20higher%20education</b:URL>
    <b:YearAccessed>2021</b:YearAccessed>
    <b:MonthAccessed>September</b:MonthAccessed>
    <b:DayAccessed>18</b:DayAccessed>
    <b:RefOrder>8</b:RefOrder>
  </b:Source>
  <b:Source>
    <b:Tag>ONS17</b:Tag>
    <b:SourceType>DocumentFromInternetSite</b:SourceType>
    <b:Guid>{D31EAFEA-1787-40D1-9779-81B21341896B}</b:Guid>
    <b:Author>
      <b:Author>
        <b:Corporate>Office for National Statistics</b:Corporate>
      </b:Author>
    </b:Author>
    <b:Title>Changes in the UK economy since the 1970s  Figure 5</b:Title>
    <b:Year>2017b</b:Year>
    <b:Publisher>Office of National Statistics</b:Publisher>
    <b:URL>https://www.ons.gov.uk/economy/economicoutputandproductivity/output/articles/changesintheeconomysincethe1970s/2019-09-02</b:URL>
    <b:RefOrder>9</b:RefOrder>
  </b:Source>
  <b:Source>
    <b:Tag>Car</b:Tag>
    <b:SourceType>InternetSite</b:SourceType>
    <b:Guid>{E743F18E-B508-448E-AA12-DCD99CF4645F}</b:Guid>
    <b:Author>
      <b:Author>
        <b:Corporate>Careermap</b:Corporate>
      </b:Author>
    </b:Author>
    <b:Title>Apprenticeships Options for your Future Career - Can I get an Apprenticeship without any qualifications?</b:Title>
    <b:URL>https://careermap.co. uk/can-get-apprenticeship-without-qualifications/</b:URL>
    <b:Year>2021</b:Year>
    <b:YearAccessed>2021</b:YearAccessed>
    <b:MonthAccessed>September </b:MonthAccessed>
    <b:DayAccessed>18</b:DayAccessed>
    <b:RefOrder>10</b:RefOrder>
  </b:Source>
  <b:Source>
    <b:Tag>ONS9f</b:Tag>
    <b:SourceType>InternetSite</b:SourceType>
    <b:Guid>{853E684E-9B60-4EA2-AD38-CA70F477EC18}</b:Guid>
    <b:Author>
      <b:Author>
        <b:Corporate>Office for National Statistics</b:Corporate>
      </b:Author>
    </b:Author>
    <b:Title>Long Term Trends in UK Employment - Figure 8 Share of Employment which is self employed</b:Title>
    <b:Year>2019f</b:Year>
    <b:URL>https://www.ons.gov.uk/economy/nationalaccounts/uksectoraccounts/compendium/economicreview/april2019/longtermtrendsinukemployment1861to2018</b:URL>
    <b:YearAccessed>2021</b:YearAccessed>
    <b:MonthAccessed>September</b:MonthAccessed>
    <b:DayAccessed>18</b:DayAccessed>
    <b:RefOrder>11</b:RefOrder>
  </b:Source>
  <b:Source>
    <b:Tag>BIM19</b:Tag>
    <b:SourceType>DocumentFromInternetSite</b:SourceType>
    <b:Guid>{649DC2BE-71EE-4CAF-86B4-39BE21F287F6}</b:Guid>
    <b:Author>
      <b:Author>
        <b:Corporate>BIMA</b:Corporate>
      </b:Author>
    </b:Author>
    <b:Title>Tech Inclusion and Diversity Report </b:Title>
    <b:Year>2019</b:Year>
    <b:YearAccessed>2021</b:YearAccessed>
    <b:MonthAccessed>September</b:MonthAccessed>
    <b:DayAccessed>18</b:DayAccessed>
    <b:URL>https://bima.co.uk/wp-content/uploads/2020/01/BIMA-Tech-Inclusion-and-Diversity-Report-2019.pdf</b:URL>
    <b:RefOrder>17</b:RefOrder>
  </b:Source>
  <b:Source>
    <b:Tag>Cre17</b:Tag>
    <b:SourceType>DocumentFromInternetSite</b:SourceType>
    <b:Guid>{99C75A2E-7A02-4E1F-B64F-B34688BE1B94}</b:Guid>
    <b:Author>
      <b:Author>
        <b:Corporate>Creative Industries Federation</b:Corporate>
      </b:Author>
    </b:Author>
    <b:Title>Creative Freelancers Report </b:Title>
    <b:Year>2017</b:Year>
    <b:Publisher>Creative Industries Federation</b:Publisher>
    <b:YearAccessed>2021</b:YearAccessed>
    <b:MonthAccessed>September</b:MonthAccessed>
    <b:DayAccessed>18</b:DayAccessed>
    <b:URL>https://www.creativeindustriesfederation.com/publications/creative-freelancers</b:URL>
    <b:RefOrder>18</b:RefOrder>
  </b:Source>
  <b:Source>
    <b:Tag>Ach17</b:Tag>
    <b:SourceType>InternetSite</b:SourceType>
    <b:Guid>{B54523C3-279C-49EE-95A6-F3BEA9BEAC34}</b:Guid>
    <b:Author>
      <b:Author>
        <b:NameList>
          <b:Person>
            <b:Last>Achievability</b:Last>
          </b:Person>
        </b:NameList>
      </b:Author>
    </b:Author>
    <b:Title>Achievability Westminster Commission Opening Doors to Employent</b:Title>
    <b:Year>2017</b:Year>
    <b:URL>https://www.achieveability.org.uk/files/1518955206/wac-report_2017_interactive-2.pdf</b:URL>
    <b:YearAccessed>2021</b:YearAccessed>
    <b:MonthAccessed>September</b:MonthAccessed>
    <b:DayAccessed>18</b:DayAccessed>
    <b:RefOrder>19</b:RefOrder>
  </b:Source>
  <b:Source>
    <b:Tag>Log01</b:Tag>
    <b:SourceType>Report</b:SourceType>
    <b:Guid>{0C52B006-3863-480B-9507-738992F34031}</b:Guid>
    <b:Author>
      <b:Author>
        <b:NameList>
          <b:Person>
            <b:Last>Logan</b:Last>
          </b:Person>
        </b:NameList>
      </b:Author>
    </b:Author>
    <b:Title>Entrepreneurial success: A study of the incidence of dyslexia in the entrepreneurial population and the influence of dyslexia on success. Ph.D. thesis, unpublished, University of Bristol, UK.</b:Title>
    <b:Year>2001</b:Year>
    <b:Publisher>Ph.D. thesis, unpublished, University of Bristol, UK.  cited in Logan J 2010 https://www.cass.city.ac.uk/__data/assets/pdf_file/0003/367383/julielogan-dyslexic-entrepreneurs.pdf</b:Publisher>
    <b:RefOrder>20</b:RefOrder>
  </b:Source>
  <b:Source>
    <b:Tag>Off21</b:Tag>
    <b:SourceType>InternetSite</b:SourceType>
    <b:Guid>{155CB7BB-8FEC-4409-86AF-BC5F3AA3CAC4}</b:Guid>
    <b:Title>Employment and Labour Market </b:Title>
    <b:Year>2021</b:Year>
    <b:Author>
      <b:Author>
        <b:Corporate>Office for National Statistics </b:Corporate>
      </b:Author>
    </b:Author>
    <b:YearAccessed>2021</b:YearAccessed>
    <b:MonthAccessed>September</b:MonthAccessed>
    <b:DayAccessed>18</b:DayAccessed>
    <b:URL>https://www.ons.gov.uk/employmentandlabourmarket</b:URL>
    <b:RefOrder>21</b:RefOrder>
  </b:Source>
  <b:Source>
    <b:Tag>Hou21</b:Tag>
    <b:SourceType>InternetSite</b:SourceType>
    <b:Guid>{14D3C01A-86E1-4638-BB2C-EFD540E28A6C}</b:Guid>
    <b:Author>
      <b:Author>
        <b:Corporate>House of Commons</b:Corporate>
      </b:Author>
    </b:Author>
    <b:Title>Support for Disabled Students in Higher Education in England</b:Title>
    <b:Year>2021</b:Year>
    <b:URL>https://commonslibrary.parliament.uk/research-briefings/cbp-8716/</b:URL>
    <b:YearAccessed>2021</b:YearAccessed>
    <b:MonthAccessed>September</b:MonthAccessed>
    <b:DayAccessed>19</b:DayAccessed>
    <b:RefOrder>22</b:RefOrder>
  </b:Source>
  <b:Source>
    <b:Tag>Ins09</b:Tag>
    <b:SourceType>DocumentFromInternetSite</b:SourceType>
    <b:Guid>{89B0F8A5-C08A-4F1E-BBF9-8888FF5C359F}</b:Guid>
    <b:Author>
      <b:Author>
        <b:Corporate>Institute of Employment Studies</b:Corporate>
      </b:Author>
    </b:Author>
    <b:Title>Creative Graduates Creative Futures Institute of Employment Studies</b:Title>
    <b:Year>2009</b:Year>
    <b:URL>https://www.employment-studies.co.uk/resource/creative-graduates-creative-futures</b:URL>
    <b:YearAccessed>2021</b:YearAccessed>
    <b:MonthAccessed>September</b:MonthAccessed>
    <b:DayAccessed>18</b:DayAccessed>
    <b:RefOrder>24</b:RefOrder>
  </b:Source>
  <b:Source>
    <b:Tag>Mar21</b:Tag>
    <b:SourceType>InternetSite</b:SourceType>
    <b:Guid>{F29CBD12-6F4B-4CE0-84F9-6B4D3DA01BA7}</b:Guid>
    <b:Author>
      <b:Author>
        <b:NameList>
          <b:Person>
            <b:Last>Markinstyle</b:Last>
          </b:Person>
        </b:NameList>
      </b:Author>
    </b:Author>
    <b:Title>15 Astonishing Graduate Employment Statistics</b:Title>
    <b:Year>2021</b:Year>
    <b:URL>https://markinstyle.co.uk/graduate-employment-statistics/</b:URL>
    <b:YearAccessed>2021</b:YearAccessed>
    <b:MonthAccessed>September</b:MonthAccessed>
    <b:DayAccessed>18</b:DayAccessed>
    <b:RefOrder>23</b:RefOrder>
  </b:Source>
  <b:Source>
    <b:Tag>Gov14</b:Tag>
    <b:SourceType>DocumentFromInternetSite</b:SourceType>
    <b:Guid>{65563C11-E919-4BC0-9D3A-4C0C4CDC2950}</b:Guid>
    <b:Author>
      <b:Author>
        <b:Corporate>UK Commission for Employment and Skills</b:Corporate>
      </b:Author>
    </b:Author>
    <b:Title>The Future of work Jobs and skills in 2030</b:Title>
    <b:Year>2014</b:Year>
    <b:URL>https://www.gov.uk/government/publications/jobs-and-skills-in-2030</b:URL>
    <b:Publisher>UK Government</b:Publisher>
    <b:YearAccessed>2021</b:YearAccessed>
    <b:MonthAccessed>September</b:MonthAccessed>
    <b:DayAccessed>18</b:DayAccessed>
    <b:RefOrder>25</b:RefOrder>
  </b:Source>
  <b:Source>
    <b:Tag>Gen</b:Tag>
    <b:SourceType>InternetSite</b:SourceType>
    <b:Guid>{F8B99131-D7B8-4FF7-B762-1EEC96FD3F07}</b:Guid>
    <b:Author>
      <b:Author>
        <b:Corporate>Genius Within</b:Corporate>
      </b:Author>
    </b:Author>
    <b:Title>What is Neurodiversity</b:Title>
    <b:URL>https://www.geniuswithin.co.uk/what-is-neurodiversity/#:~:text=%E2%80%9CSpiky%20profiles%E2%80%9D%20are%20a%20great,has%20large%20peaks%20and%20troughs.</b:URL>
    <b:Year>2021</b:Year>
    <b:YearAccessed>2021</b:YearAccessed>
    <b:MonthAccessed>September</b:MonthAccessed>
    <b:DayAccessed>18</b:DayAccessed>
    <b:RefOrder>29</b:RefOrder>
  </b:Source>
  <b:Source>
    <b:Tag>Gos1b</b:Tag>
    <b:SourceType>InternetSite</b:SourceType>
    <b:Guid>{9772207F-DF7E-4316-BF2F-8F0352B4EAB5}</b:Guid>
    <b:Author>
      <b:Author>
        <b:NameList>
          <b:Person>
            <b:Last>Gosimpletax</b:Last>
          </b:Person>
        </b:NameList>
      </b:Author>
    </b:Author>
    <b:Title>Self Employment Statistics</b:Title>
    <b:Year>2021b</b:Year>
    <b:URL>https://www.gosimpletax.com/insights/self-employment-statistics#:~:text=The%20largest%20percentage%20of%20self,%2D64%20are%20self%2Demployed</b:URL>
    <b:YearAccessed>2021</b:YearAccessed>
    <b:MonthAccessed>September</b:MonthAccessed>
    <b:DayAccessed>18</b:DayAccessed>
    <b:RefOrder>28</b:RefOrder>
  </b:Source>
  <b:Source>
    <b:Tag>Gos211</b:Tag>
    <b:SourceType>InternetSite</b:SourceType>
    <b:Guid>{6F339243-D1CC-495C-BBA4-60748A1FE8CB}</b:Guid>
    <b:Author>
      <b:Author>
        <b:NameList>
          <b:Person>
            <b:Last>Gosimpletax</b:Last>
          </b:Person>
        </b:NameList>
      </b:Author>
    </b:Author>
    <b:Title>Self Employment Statistics</b:Title>
    <b:Year>2021</b:Year>
    <b:URL>https://www.gosimpletax.com/insights/self-employment-statistics#:~:text=The%20largest%20percentage%20of%20self,%2D64%20are%20self%2Demployed</b:URL>
    <b:YearAccessed>2021</b:YearAccessed>
    <b:MonthAccessed>September</b:MonthAccessed>
    <b:DayAccessed>18</b:DayAccessed>
    <b:RefOrder>27</b:RefOrder>
  </b:Source>
  <b:Source>
    <b:Tag>ONS20</b:Tag>
    <b:SourceType>DocumentFromInternetSite</b:SourceType>
    <b:Guid>{62C3CBC8-C650-4578-8330-47FA556D4DEF}</b:Guid>
    <b:Author>
      <b:Author>
        <b:Corporate>ONS</b:Corporate>
      </b:Author>
    </b:Author>
    <b:Title>Ethnicity Facts and Figures https://www.ethnicity-facts-figures.service.gov.uk/work-pay-and-benefits/unemployment-and-economic-inactivity/unemployment-by-qualification-level/latest</b:Title>
    <b:Year>2020</b:Year>
    <b:Publisher>Office of National Statistics</b:Publisher>
    <b:URL>https://www.ethnicity-facts-figures.service.gov.uk/work-pay-and-benefits/unemployment-and-economic-inactivity/unemployment-by-qualification-level/latest</b:URL>
    <b:RefOrder>30</b:RefOrder>
  </b:Source>
  <b:Source>
    <b:Tag>Pro21</b:Tag>
    <b:SourceType>DocumentFromInternetSite</b:SourceType>
    <b:Guid>{DFD96038-E858-4EEC-8316-68D47BFFE9C7}</b:Guid>
    <b:Author>
      <b:Author>
        <b:NameList>
          <b:Person>
            <b:Last>Kirby</b:Last>
            <b:First>Professor</b:First>
            <b:Middle>Amanda</b:Middle>
          </b:Person>
        </b:NameList>
      </b:Author>
    </b:Author>
    <b:Title>A Salutary Tale Of Two Neuro-Diverse, and Socially Diverse, Boys - Teaching Times </b:Title>
    <b:Year>2021</b:Year>
    <b:Publisher>Teaching Times</b:Publisher>
    <b:URL>https://www.teachingtimes.com/a-salutary-tale-of-two-neuro-diverse-and-socially-diverse-boys/</b:URL>
    <b:YearAccessed>2021</b:YearAccessed>
    <b:MonthAccessed>September</b:MonthAccessed>
    <b:DayAccessed>18</b:DayAccessed>
    <b:RefOrder>32</b:RefOrder>
  </b:Source>
  <b:Source>
    <b:Tag>Kir18</b:Tag>
    <b:SourceType>DocumentFromInternetSite</b:SourceType>
    <b:Guid>{1FB825F7-A7AE-498D-9689-AE5407A254B9}</b:Guid>
    <b:Author>
      <b:Author>
        <b:Corporate>Kirby &amp; Cleaton </b:Corporate>
      </b:Author>
    </b:Author>
    <b:Title>Why Do We Find it so Hard to Calculate the Burden of Neurodevelopmental Disorders - Journal of Childhood and Developmentle Disorders</b:Title>
    <b:Year>2018</b:Year>
    <b:YearAccessed>2021</b:YearAccessed>
    <b:MonthAccessed>September</b:MonthAccessed>
    <b:DayAccessed>2018</b:DayAccessed>
    <b:URL>https://childhood-developmental-disorders.imedpub.com/why-do-we-find-it-so-hard-to-calculate-the-burden-of-neurodevelopmental-disorders.php?aid=23252</b:URL>
    <b:RefOrder>33</b:RefOrder>
  </b:Source>
  <b:Source>
    <b:Tag>BBC9a</b:Tag>
    <b:SourceType>InternetSite</b:SourceType>
    <b:Guid>{1C7DAFD5-A6F4-4926-888D-309EF3D6113C}</b:Guid>
    <b:Author>
      <b:Author>
        <b:Corporate>BBC NEWS</b:Corporate>
      </b:Author>
    </b:Author>
    <b:Title>We Need to talk about dyslexia at work</b:Title>
    <b:Year>2019a</b:Year>
    <b:URL>https://www.bbc.com/worklife/article/20190702-we-need-to-talk-about-dyslexia-at-work</b:URL>
    <b:YearAccessed>2021</b:YearAccessed>
    <b:MonthAccessed>September</b:MonthAccessed>
    <b:DayAccessed>18</b:DayAccessed>
    <b:RefOrder>34</b:RefOrder>
  </b:Source>
  <b:Source>
    <b:Tag>Hou2c</b:Tag>
    <b:SourceType>DocumentFromInternetSite</b:SourceType>
    <b:Guid>{D8607570-AA26-419E-AF74-C88550F580AD}</b:Guid>
    <b:Title>Improving Lives The Work, Health and Disability Green Paper </b:Title>
    <b:Year>2016</b:Year>
    <b:Author>
      <b:Author>
        <b:Corporate>DWP &amp; Department for Health </b:Corporate>
      </b:Author>
    </b:Author>
    <b:URL>https://assets.publishing.service.gov.uk/government/uploads/system/uploads/attachment_data/file/564038/work-and-health-green-paper-improving-lives.pdf</b:URL>
    <b:RefOrder>35</b:RefOrder>
  </b:Source>
  <b:Source>
    <b:Tag>HMG10</b:Tag>
    <b:SourceType>DocumentFromInternetSite</b:SourceType>
    <b:Guid>{BC5AE088-301C-458C-BE0E-2643798741B6}</b:Guid>
    <b:Author>
      <b:Author>
        <b:Corporate>HM Government b</b:Corporate>
      </b:Author>
    </b:Author>
    <b:Title>State of the Nation Report, Poverty Worklessness and welfare dependency in the UK</b:Title>
    <b:Year>2010</b:Year>
    <b:URL>https://www.bristol.ac.uk/poverty/downloads/keyofficialdocuments/CONDEM%20-poverty-report.pdf</b:URL>
    <b:YearAccessed>2021</b:YearAccessed>
    <b:MonthAccessed>September</b:MonthAccessed>
    <b:DayAccessed>18</b:DayAccessed>
    <b:RefOrder>31</b:RefOrder>
  </b:Source>
  <b:Source>
    <b:Tag>Com12</b:Tag>
    <b:SourceType>DocumentFromInternetSite</b:SourceType>
    <b:Guid>{B990C8C7-2589-4EC3-A687-10C01075C69C}</b:Guid>
    <b:Author>
      <b:Author>
        <b:Corporate>House of Commons Library</b:Corporate>
      </b:Author>
    </b:Author>
    <b:Title>Education: Historical statistics</b:Title>
    <b:Year>2012</b:Year>
    <b:URL>https://commonslibrary.parliament.uk/research-briefings/sn04252/</b:URL>
    <b:YearAccessed>2021</b:YearAccessed>
    <b:MonthAccessed>September</b:MonthAccessed>
    <b:DayAccessed>18</b:DayAccessed>
    <b:RefOrder>7</b:RefOrder>
  </b:Source>
  <b:Source>
    <b:Tag>Log14</b:Tag>
    <b:SourceType>ArticleInAPeriodical</b:SourceType>
    <b:Guid>{D69605E0-BCFD-4A9D-B9AD-549C91FD708E}</b:Guid>
    <b:Author>
      <b:Author>
        <b:NameList>
          <b:Person>
            <b:Last>Logan</b:Last>
            <b:First>Professor</b:First>
            <b:Middle>Julie</b:Middle>
          </b:Person>
        </b:NameList>
      </b:Author>
    </b:Author>
    <b:Title>Dyslexic Entrepreneurs: The Incidence; Their Coping Strategies and Their Business Skills   https://www.cass.city.ac.uk/__data/assets/pdf_file/0003/367383/julielogan-dyslexic-entrepreneurs.pdf</b:Title>
    <b:Year>2009</b:Year>
    <b:URL>https://www.cass.city.ac.uk/__data/assets/pdf_file/0003/367383/julielogan-dyslexic-entrepreneurs.pdf</b:URL>
    <b:Publisher>University of Bristol</b:Publisher>
    <b:PeriodicalTitle>Dyslexia</b:PeriodicalTitle>
    <b:RefOrder>12</b:RefOrder>
  </b:Source>
  <b:Source>
    <b:Tag>Jos171</b:Tag>
    <b:SourceType>DocumentFromInternetSite</b:SourceType>
    <b:Guid>{2CC0EB8C-BAE2-42C9-8173-F65F139410DE}</b:Guid>
    <b:Author>
      <b:Author>
        <b:Corporate>Joseph Roundtree Foundation  p9; p17</b:Corporate>
      </b:Author>
    </b:Author>
    <b:Title>Special Needs and Their Links to Poverty</b:Title>
    <b:Year>2016</b:Year>
    <b:URL>https://www.jrf.org.uk/report/special-educational-needs-and-their-links-poverty</b:URL>
    <b:RefOrder>38</b:RefOrder>
  </b:Source>
  <b:Source>
    <b:Tag>Pro20</b:Tag>
    <b:SourceType>Misc</b:SourceType>
    <b:Guid>{936F27AA-E08B-4D41-AD60-3B88B0566A82}</b:Guid>
    <b:Title>Neurodiversity 101 Ethnicity Do It Profiler</b:Title>
    <b:Year>2020</b:Year>
    <b:Author>
      <b:Author>
        <b:NameList>
          <b:Person>
            <b:Last>Kirby</b:Last>
            <b:First>Professor</b:First>
            <b:Middle>Amanda</b:Middle>
          </b:Person>
        </b:NameList>
      </b:Author>
    </b:Author>
    <b:Publisher>https://www.linkedin.com/posts/profamandakirby_bame-and-neurodiversity-activity-6674552743832625152-j532/</b:Publisher>
    <b:RefOrder>39</b:RefOrder>
  </b:Source>
  <b:Source>
    <b:Tag>Arc14</b:Tag>
    <b:SourceType>DocumentFromInternetSite</b:SourceType>
    <b:Guid>{AE5EAF37-8A40-408C-934E-8095E34B4D4D}</b:Guid>
    <b:Author>
      <b:Author>
        <b:NameList>
          <b:Person>
            <b:Last>Archer</b:Last>
            <b:First>Dr</b:First>
            <b:Middle>Dale</b:Middle>
          </b:Person>
        </b:NameList>
      </b:Author>
    </b:Author>
    <b:Title>ADHD , The Entrepreneurs Superpower</b:Title>
    <b:InternetSiteTitle>Forbes </b:InternetSiteTitle>
    <b:Year>2014</b:Year>
    <b:URL>https://www.forbes.com/sites/dalearcher/2014/05/14/adhd-the-entrepreneurs-superpower/?sh=60ac6bad59e9</b:URL>
    <b:JournalName>Forbes</b:JournalName>
    <b:RefOrder>13</b:RefOrder>
  </b:Source>
  <b:Source>
    <b:Tag>BBC192</b:Tag>
    <b:SourceType>DocumentFromInternetSite</b:SourceType>
    <b:Guid>{71A1AE0E-C89E-4C0C-B885-5E69C99BD189}</b:Guid>
    <b:Author>
      <b:Author>
        <b:Corporate>BBC</b:Corporate>
      </b:Author>
    </b:Author>
    <b:Title>Schools 'failing to diagnose at least 80% of dyslexic pupils'</b:Title>
    <b:InternetSiteTitle>BBC</b:InternetSiteTitle>
    <b:Year>2019</b:Year>
    <b:URL>https://www.bbc.co.uk/news/uk-england-50095218</b:URL>
    <b:RefOrder>15</b:RefOrder>
  </b:Source>
</b:Sources>
</file>

<file path=customXml/itemProps1.xml><?xml version="1.0" encoding="utf-8"?>
<ds:datastoreItem xmlns:ds="http://schemas.openxmlformats.org/officeDocument/2006/customXml" ds:itemID="{7BA54FAA-B389-41A8-82A3-4CF1265E3A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4737</Words>
  <Characters>27001</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Dawe</dc:creator>
  <cp:keywords/>
  <dc:description/>
  <cp:lastModifiedBy>Charles Freeman</cp:lastModifiedBy>
  <cp:revision>2</cp:revision>
  <cp:lastPrinted>2021-09-17T20:33:00Z</cp:lastPrinted>
  <dcterms:created xsi:type="dcterms:W3CDTF">2024-05-27T15:29:00Z</dcterms:created>
  <dcterms:modified xsi:type="dcterms:W3CDTF">2024-05-27T15:29:00Z</dcterms:modified>
</cp:coreProperties>
</file>